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5750"/>
        </w:tabs>
        <w:kinsoku/>
        <w:wordWrap/>
        <w:overflowPunct/>
        <w:topLinePunct w:val="0"/>
        <w:autoSpaceDE/>
        <w:autoSpaceDN/>
        <w:bidi w:val="0"/>
        <w:adjustRightInd/>
        <w:snapToGrid/>
        <w:spacing w:before="313" w:beforeLines="100" w:after="313" w:afterLines="100"/>
        <w:jc w:val="center"/>
        <w:textAlignment w:val="auto"/>
        <w:rPr>
          <w:rFonts w:hint="eastAsia" w:eastAsiaTheme="minorEastAsia"/>
          <w:b/>
          <w:bCs/>
          <w:sz w:val="36"/>
          <w:szCs w:val="44"/>
          <w:lang w:eastAsia="zh-CN"/>
        </w:rPr>
      </w:pPr>
      <w:r>
        <w:rPr>
          <w:rFonts w:hint="eastAsia"/>
          <w:b/>
          <w:bCs/>
          <w:sz w:val="36"/>
          <w:szCs w:val="44"/>
          <w:lang w:val="en-US" w:eastAsia="zh-CN"/>
        </w:rPr>
        <w:t>实训计算机房项目(政府集中采购目录外产品）报价函</w:t>
      </w:r>
    </w:p>
    <w:tbl>
      <w:tblPr>
        <w:tblStyle w:val="10"/>
        <w:tblW w:w="1011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6"/>
        <w:gridCol w:w="1127"/>
        <w:gridCol w:w="3679"/>
        <w:gridCol w:w="825"/>
        <w:gridCol w:w="1018"/>
        <w:gridCol w:w="1350"/>
        <w:gridCol w:w="153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57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序号</w:t>
            </w:r>
          </w:p>
        </w:tc>
        <w:tc>
          <w:tcPr>
            <w:tcW w:w="112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产品名称</w:t>
            </w:r>
          </w:p>
        </w:tc>
        <w:tc>
          <w:tcPr>
            <w:tcW w:w="3679"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性能参数</w:t>
            </w:r>
          </w:p>
        </w:tc>
        <w:tc>
          <w:tcPr>
            <w:tcW w:w="82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right="0" w:rightChars="0" w:firstLine="0" w:firstLineChars="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数量</w:t>
            </w:r>
          </w:p>
        </w:tc>
        <w:tc>
          <w:tcPr>
            <w:tcW w:w="101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right="0" w:rightChars="0" w:firstLine="0" w:firstLineChars="0"/>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单位</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360" w:lineRule="exact"/>
              <w:ind w:left="0" w:leftChars="0" w:right="0" w:rightChars="0" w:firstLine="0" w:firstLineChars="0"/>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单价</w:t>
            </w:r>
          </w:p>
        </w:tc>
        <w:tc>
          <w:tcPr>
            <w:tcW w:w="1536" w:type="dxa"/>
            <w:tcBorders>
              <w:top w:val="single" w:color="auto" w:sz="4" w:space="0"/>
              <w:left w:val="single" w:color="auto" w:sz="4" w:space="0"/>
              <w:bottom w:val="single" w:color="auto" w:sz="4" w:space="0"/>
              <w:right w:val="single" w:color="auto" w:sz="4" w:space="0"/>
            </w:tcBorders>
            <w:noWrap w:val="0"/>
            <w:vAlign w:val="center"/>
          </w:tcPr>
          <w:p>
            <w:pPr>
              <w:tabs>
                <w:tab w:val="left" w:pos="15750"/>
              </w:tabs>
              <w:spacing w:line="360" w:lineRule="exact"/>
              <w:ind w:left="0" w:leftChars="0" w:right="0" w:rightChars="0" w:firstLine="0" w:firstLineChars="0"/>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小计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76" w:type="dxa"/>
            <w:tcBorders>
              <w:top w:val="single" w:color="auto" w:sz="4" w:space="0"/>
              <w:left w:val="single" w:color="auto" w:sz="4" w:space="0"/>
              <w:right w:val="single" w:color="auto" w:sz="4" w:space="0"/>
            </w:tcBorders>
            <w:noWrap w:val="0"/>
            <w:vAlign w:val="center"/>
          </w:tcPr>
          <w:p>
            <w:pPr>
              <w:spacing w:beforeLines="0" w:afterLines="0"/>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1</w:t>
            </w:r>
          </w:p>
        </w:tc>
        <w:tc>
          <w:tcPr>
            <w:tcW w:w="1127" w:type="dxa"/>
            <w:tcBorders>
              <w:top w:val="single" w:color="auto" w:sz="4" w:space="0"/>
              <w:left w:val="single" w:color="auto" w:sz="4" w:space="0"/>
              <w:right w:val="single" w:color="auto" w:sz="4" w:space="0"/>
            </w:tcBorders>
            <w:noWrap w:val="0"/>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瘦终端</w:t>
            </w:r>
          </w:p>
        </w:tc>
        <w:tc>
          <w:tcPr>
            <w:tcW w:w="3679"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★1、单台硬件配置要求：CPU采用ARM架构，单CPU配置不低于四核，主频≥1.6Ghz，内存≥1G，要求至少有6个USB接口、1个标准以太网接口、1组音频输入/输出接口；</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2、支持在DHCP环境下的即插即用模式部署，且支持手动配置网络接口地址和虚拟桌面平台的接入地址或域名；</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★3、为了方便管理，管理方式为虚拟机和瘦终端统一管理，降低管理难度；</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★4、为了方便管理，需支持配置自定义开机画面、支持瘦终端分组管理、支持配置瘦终端定时开关机计划、 支持开启“瘦终端加电自启”功能、支持配置是否自动下载并安装更新、支持批量移动/删除/ 关闭云终端、支持配置是否允许自动登录和保存密码；</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5、为了保证能正常、安全的接入到局域网，要求兼容登录局域网所必需的软件以及外设，如杀毒软件、摄像头、打印机、刻录机、扫描仪；</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6、为了降低用户的使用难度，需要瘦终端的使用可以和PC一致，例如在关机方面，在虚拟机中点击“开始”菜单、点击“关机”按钮，云终端和操作系统将会一体化关闭；</w:t>
            </w:r>
          </w:p>
          <w:p>
            <w:pPr>
              <w:numPr>
                <w:ilvl w:val="0"/>
                <w:numId w:val="0"/>
              </w:numPr>
              <w:spacing w:line="360" w:lineRule="exac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★7、为保证兼容性，要求</w:t>
            </w:r>
            <w:r>
              <w:rPr>
                <w:rFonts w:hint="eastAsia" w:ascii="宋体" w:hAnsi="宋体" w:cs="宋体"/>
                <w:color w:val="000000"/>
                <w:sz w:val="24"/>
                <w:szCs w:val="24"/>
                <w:highlight w:val="none"/>
                <w:lang w:val="en-US" w:eastAsia="zh-CN"/>
              </w:rPr>
              <w:t>云服务器</w:t>
            </w:r>
            <w:r>
              <w:rPr>
                <w:rFonts w:hint="eastAsia" w:ascii="宋体" w:hAnsi="宋体" w:eastAsia="宋体" w:cs="宋体"/>
                <w:color w:val="000000"/>
                <w:sz w:val="24"/>
                <w:szCs w:val="24"/>
                <w:highlight w:val="none"/>
                <w:lang w:val="en-US" w:eastAsia="zh-CN"/>
              </w:rPr>
              <w:t>、瘦终端、终端接入授权采用同一品牌且</w:t>
            </w:r>
            <w:r>
              <w:rPr>
                <w:rFonts w:hint="eastAsia" w:ascii="宋体" w:hAnsi="宋体" w:cs="宋体"/>
                <w:color w:val="000000"/>
                <w:sz w:val="24"/>
                <w:szCs w:val="24"/>
                <w:highlight w:val="none"/>
                <w:lang w:val="en-US" w:eastAsia="zh-CN"/>
              </w:rPr>
              <w:t>能兼容使用</w:t>
            </w:r>
            <w:r>
              <w:rPr>
                <w:rFonts w:hint="eastAsia" w:ascii="宋体" w:hAnsi="宋体" w:eastAsia="宋体" w:cs="宋体"/>
                <w:color w:val="000000"/>
                <w:sz w:val="24"/>
                <w:szCs w:val="24"/>
                <w:highlight w:val="none"/>
                <w:lang w:val="en-US" w:eastAsia="zh-CN"/>
              </w:rPr>
              <w:t>。</w:t>
            </w:r>
          </w:p>
        </w:tc>
        <w:tc>
          <w:tcPr>
            <w:tcW w:w="825" w:type="dxa"/>
            <w:tcBorders>
              <w:top w:val="single" w:color="auto" w:sz="4" w:space="0"/>
              <w:left w:val="single" w:color="auto" w:sz="4" w:space="0"/>
              <w:right w:val="single" w:color="auto" w:sz="4" w:space="0"/>
            </w:tcBorders>
            <w:noWrap w:val="0"/>
            <w:vAlign w:val="center"/>
          </w:tcPr>
          <w:p>
            <w:pPr>
              <w:spacing w:beforeLines="0" w:afterLines="0"/>
              <w:ind w:left="0" w:leftChars="0" w:right="0" w:righ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61</w:t>
            </w:r>
          </w:p>
        </w:tc>
        <w:tc>
          <w:tcPr>
            <w:tcW w:w="1018" w:type="dxa"/>
            <w:tcBorders>
              <w:top w:val="single" w:color="auto" w:sz="4" w:space="0"/>
              <w:left w:val="single" w:color="auto" w:sz="4" w:space="0"/>
              <w:right w:val="single" w:color="auto" w:sz="4" w:space="0"/>
            </w:tcBorders>
            <w:noWrap w:val="0"/>
            <w:vAlign w:val="center"/>
          </w:tcPr>
          <w:p>
            <w:pPr>
              <w:spacing w:beforeLines="0" w:afterLines="0"/>
              <w:ind w:left="0" w:leftChars="0" w:right="0" w:righ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台</w:t>
            </w:r>
          </w:p>
        </w:tc>
        <w:tc>
          <w:tcPr>
            <w:tcW w:w="1350" w:type="dxa"/>
            <w:tcBorders>
              <w:top w:val="single" w:color="auto" w:sz="4" w:space="0"/>
              <w:left w:val="single" w:color="auto" w:sz="4" w:space="0"/>
              <w:right w:val="single" w:color="auto" w:sz="4" w:space="0"/>
            </w:tcBorders>
            <w:noWrap w:val="0"/>
            <w:vAlign w:val="center"/>
          </w:tcPr>
          <w:p>
            <w:pPr>
              <w:spacing w:beforeLines="0" w:afterLines="0"/>
              <w:ind w:left="0" w:leftChars="0" w:right="0" w:rightChars="0" w:firstLine="0" w:firstLineChars="0"/>
              <w:jc w:val="center"/>
              <w:rPr>
                <w:rFonts w:hint="eastAsia" w:ascii="宋体" w:hAnsi="宋体" w:eastAsia="宋体" w:cs="宋体"/>
                <w:color w:val="auto"/>
                <w:sz w:val="24"/>
                <w:szCs w:val="24"/>
              </w:rPr>
            </w:pPr>
          </w:p>
        </w:tc>
        <w:tc>
          <w:tcPr>
            <w:tcW w:w="1536" w:type="dxa"/>
            <w:tcBorders>
              <w:top w:val="single" w:color="auto" w:sz="4" w:space="0"/>
              <w:left w:val="single" w:color="auto" w:sz="4" w:space="0"/>
              <w:right w:val="single" w:color="auto" w:sz="4" w:space="0"/>
            </w:tcBorders>
            <w:noWrap w:val="0"/>
            <w:vAlign w:val="center"/>
          </w:tcPr>
          <w:p>
            <w:pPr>
              <w:tabs>
                <w:tab w:val="left" w:pos="15750"/>
              </w:tabs>
              <w:spacing w:beforeLines="0" w:afterLines="0"/>
              <w:ind w:left="0" w:leftChars="0" w:right="0" w:rightChars="0" w:firstLine="0" w:firstLineChars="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76" w:type="dxa"/>
            <w:tcBorders>
              <w:top w:val="single" w:color="auto" w:sz="4" w:space="0"/>
              <w:left w:val="single" w:color="auto" w:sz="4" w:space="0"/>
              <w:right w:val="single" w:color="auto" w:sz="4" w:space="0"/>
            </w:tcBorders>
            <w:noWrap w:val="0"/>
            <w:vAlign w:val="center"/>
          </w:tcPr>
          <w:p>
            <w:pPr>
              <w:spacing w:beforeLines="0" w:afterLines="0"/>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2</w:t>
            </w:r>
          </w:p>
        </w:tc>
        <w:tc>
          <w:tcPr>
            <w:tcW w:w="1127" w:type="dxa"/>
            <w:tcBorders>
              <w:top w:val="single" w:color="auto" w:sz="4" w:space="0"/>
              <w:left w:val="single" w:color="auto" w:sz="4" w:space="0"/>
              <w:right w:val="single" w:color="auto" w:sz="4" w:space="0"/>
            </w:tcBorders>
            <w:noWrap w:val="0"/>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终端接入授权</w:t>
            </w:r>
          </w:p>
        </w:tc>
        <w:tc>
          <w:tcPr>
            <w:tcW w:w="3679"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1、支持PC、笔记本电脑（含Windows操作系统和MAC笔记本）、瘦终端（含ARM和X86）、iPad、iPhone、Android移动终端等设备接入访问虚拟桌面；</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★2、支持管理员可自定义设置加速应用进程、降速应用进程，以及算法推荐的优化项，对已运行应用的CPU和内存进行实时优化，有效提高虚拟机资源利用率；（提供功能界面截图并加盖投标人公章）</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★3、支持虚拟机扩容审批功能，用户虚拟机配置变更申请提交完成后，需要管理员进行审核；（提供功能界面截图并加盖投标人公章）</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★4、支持对个人磁盘加密，保障个人稳私安全；（提供功能界面截图并加盖投标人公章）</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支持在桌面云管理组件中内置应用控制技术，实现基于黑名单或白名单策略的桌面应用管控，当启用应用控制时，桌面虚拟机将无法运行黑名单列表中的应用程序或无法运行除操作系统必要程序与列表中之外的任何应用程序，并且内置的应用程序规则至少200条；</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6、支持根据特定的使用场景批量进行策略设置，场景可基于IP范围、终端类型等；</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7、为了应对部分临时出现的场景，需支持临时权限，管理员为部分用户临时在某个时间段内放通usb和pc剪切板等权限，并在到期后自动回收该权限，保证数据安全；</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8、支持虚拟机回收站功能，避免误操作导致虚拟机数据丢失，当虚拟机删除后，会自动进入回收站，支持恢复到原位置，可设置回收站自动清理时长；</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9、为了提高平台安全性，平台需内置防火墙，包括设置过滤规则、NAT设置、访问监控、防DOS攻击、QOS上传下载规则等；</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10、支持客户端准入检测，可根据用户接入的终端类型、操作系统版本、接入IP和时间、 软件安装情况等条件设置接入访问策略，如客户端不满足安全检测要求则不允许接入；</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11、支持在控制台查看用户虚拟机的CPU、内存、磁盘的详细情况，且CPU、内存支持正反排序，磁盘支持按比例的大小进行正序和反序排序；</w:t>
            </w:r>
          </w:p>
          <w:p>
            <w:pPr>
              <w:numPr>
                <w:ilvl w:val="0"/>
                <w:numId w:val="0"/>
              </w:numPr>
              <w:spacing w:line="360" w:lineRule="exact"/>
              <w:ind w:left="0" w:leftChars="0" w:firstLine="0" w:firstLineChars="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★12、为保证兼容性，要求</w:t>
            </w:r>
            <w:r>
              <w:rPr>
                <w:rFonts w:hint="eastAsia" w:ascii="宋体" w:hAnsi="宋体" w:cs="宋体"/>
                <w:color w:val="000000"/>
                <w:sz w:val="24"/>
                <w:szCs w:val="24"/>
                <w:highlight w:val="none"/>
                <w:lang w:val="en-US" w:eastAsia="zh-CN"/>
              </w:rPr>
              <w:t>云服务器</w:t>
            </w:r>
            <w:r>
              <w:rPr>
                <w:rFonts w:hint="eastAsia" w:ascii="宋体" w:hAnsi="宋体" w:eastAsia="宋体" w:cs="宋体"/>
                <w:color w:val="000000"/>
                <w:sz w:val="24"/>
                <w:szCs w:val="24"/>
                <w:highlight w:val="none"/>
                <w:lang w:val="en-US" w:eastAsia="zh-CN"/>
              </w:rPr>
              <w:t>、瘦终端、终端接入授权采用同一品牌</w:t>
            </w:r>
            <w:r>
              <w:rPr>
                <w:rFonts w:hint="eastAsia" w:ascii="宋体" w:hAnsi="宋体" w:cs="宋体"/>
                <w:color w:val="000000"/>
                <w:sz w:val="24"/>
                <w:szCs w:val="24"/>
                <w:highlight w:val="none"/>
                <w:lang w:val="en-US" w:eastAsia="zh-CN"/>
              </w:rPr>
              <w:t>且能兼容使用</w:t>
            </w:r>
            <w:r>
              <w:rPr>
                <w:rFonts w:hint="eastAsia" w:ascii="宋体" w:hAnsi="宋体" w:eastAsia="宋体" w:cs="宋体"/>
                <w:color w:val="000000"/>
                <w:sz w:val="24"/>
                <w:szCs w:val="24"/>
                <w:highlight w:val="none"/>
                <w:lang w:val="en-US" w:eastAsia="zh-CN"/>
              </w:rPr>
              <w:t>。</w:t>
            </w:r>
          </w:p>
        </w:tc>
        <w:tc>
          <w:tcPr>
            <w:tcW w:w="825" w:type="dxa"/>
            <w:tcBorders>
              <w:top w:val="single" w:color="auto" w:sz="4" w:space="0"/>
              <w:left w:val="single" w:color="auto" w:sz="4" w:space="0"/>
              <w:right w:val="single" w:color="auto" w:sz="4" w:space="0"/>
            </w:tcBorders>
            <w:noWrap w:val="0"/>
            <w:vAlign w:val="center"/>
          </w:tcPr>
          <w:p>
            <w:pPr>
              <w:spacing w:beforeLines="0" w:afterLines="0"/>
              <w:ind w:left="0" w:leftChars="0" w:right="0" w:righ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61</w:t>
            </w:r>
          </w:p>
        </w:tc>
        <w:tc>
          <w:tcPr>
            <w:tcW w:w="1018" w:type="dxa"/>
            <w:tcBorders>
              <w:top w:val="single" w:color="auto" w:sz="4" w:space="0"/>
              <w:left w:val="single" w:color="auto" w:sz="4" w:space="0"/>
              <w:right w:val="single" w:color="auto" w:sz="4" w:space="0"/>
            </w:tcBorders>
            <w:noWrap w:val="0"/>
            <w:vAlign w:val="center"/>
          </w:tcPr>
          <w:p>
            <w:pPr>
              <w:spacing w:beforeLines="0" w:afterLines="0"/>
              <w:ind w:left="0" w:leftChars="0" w:right="0" w:righ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套</w:t>
            </w:r>
          </w:p>
        </w:tc>
        <w:tc>
          <w:tcPr>
            <w:tcW w:w="1350" w:type="dxa"/>
            <w:tcBorders>
              <w:top w:val="single" w:color="auto" w:sz="4" w:space="0"/>
              <w:left w:val="single" w:color="auto" w:sz="4" w:space="0"/>
              <w:right w:val="single" w:color="auto" w:sz="4" w:space="0"/>
            </w:tcBorders>
            <w:noWrap w:val="0"/>
            <w:vAlign w:val="center"/>
          </w:tcPr>
          <w:p>
            <w:pPr>
              <w:spacing w:beforeLines="0" w:afterLines="0"/>
              <w:ind w:left="0" w:leftChars="0" w:right="0" w:rightChars="0" w:firstLine="0" w:firstLineChars="0"/>
              <w:jc w:val="center"/>
              <w:rPr>
                <w:rFonts w:hint="eastAsia" w:ascii="宋体" w:hAnsi="宋体" w:eastAsia="宋体" w:cs="宋体"/>
                <w:color w:val="auto"/>
                <w:sz w:val="24"/>
                <w:szCs w:val="24"/>
              </w:rPr>
            </w:pPr>
          </w:p>
        </w:tc>
        <w:tc>
          <w:tcPr>
            <w:tcW w:w="1536" w:type="dxa"/>
            <w:tcBorders>
              <w:top w:val="single" w:color="auto" w:sz="4" w:space="0"/>
              <w:left w:val="single" w:color="auto" w:sz="4" w:space="0"/>
              <w:right w:val="single" w:color="auto" w:sz="4" w:space="0"/>
            </w:tcBorders>
            <w:noWrap w:val="0"/>
            <w:vAlign w:val="center"/>
          </w:tcPr>
          <w:p>
            <w:pPr>
              <w:tabs>
                <w:tab w:val="left" w:pos="15750"/>
              </w:tabs>
              <w:spacing w:beforeLines="0" w:afterLines="0"/>
              <w:ind w:left="0" w:leftChars="0" w:right="0" w:rightChars="0" w:firstLine="0" w:firstLineChars="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76" w:type="dxa"/>
            <w:tcBorders>
              <w:top w:val="single" w:color="auto" w:sz="4" w:space="0"/>
              <w:left w:val="single" w:color="auto" w:sz="4" w:space="0"/>
              <w:right w:val="single" w:color="auto" w:sz="4" w:space="0"/>
            </w:tcBorders>
            <w:noWrap w:val="0"/>
            <w:vAlign w:val="center"/>
          </w:tcPr>
          <w:p>
            <w:pPr>
              <w:spacing w:beforeLines="0" w:afterLines="0"/>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w:t>
            </w:r>
          </w:p>
        </w:tc>
        <w:tc>
          <w:tcPr>
            <w:tcW w:w="1127" w:type="dxa"/>
            <w:tcBorders>
              <w:top w:val="single" w:color="auto" w:sz="4" w:space="0"/>
              <w:left w:val="single" w:color="auto" w:sz="4" w:space="0"/>
              <w:right w:val="single" w:color="auto" w:sz="4" w:space="0"/>
            </w:tcBorders>
            <w:noWrap w:val="0"/>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课堂管理软件</w:t>
            </w:r>
          </w:p>
        </w:tc>
        <w:tc>
          <w:tcPr>
            <w:tcW w:w="3679"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1、支持屏屏和视频广播，广播画面不需要经过学生虚拟机，可从教师机直接推送到云终端，这样不仅能够提供更流畅的屏幕广播和学生演示效果，而且能够有效节省广播流量。</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2、支持离线教学，在这种情况下，教师机必须是物理PC，即使服务端网络中断，教师PC依然可以将屏幕广播画面推送给云终端，确保教学业务不中断。</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★3、多频道教学：支持多达24个频道的划分，一个教师可对单个班级或多个班级同时上课；多个教师可同时对多个班级进行不同内容的教学。</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★4、分组教学：教师分派组长执行指定的功能，组长代替教师进行小组教学，小组不需要再临时创建，可以直接使用既有分组信息，教师可以监控每个分组的教学过程，以了解分组教学的进度。</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5、屏幕监视：教师机可以监视单一、部分、全体学生机的屏幕，教师机每屏可监视多个学生屏幕（最多36个）。可以控制教师机监控的同屏幕各窗口间、屏幕与屏幕间的切换速度。可手动或自动循环监视。</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6、分组讨论：教师可以创建多个小组进行讨论活动，并可任意选择分组加入讨论活动。同组师生支持多种方式进行交流，包括文字，表情，图片等。</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★7、随堂小考：教师启动快速的单题考试或随堂调查，限定考试时间，学生答题后立即给出结果，结果显示学生答案柱状图分析和答题时间，可作为抢答依据。</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8、作业提交：学生把做好的作业直接提交到教师机，方便教师批改作业要收取的麻烦。通过特殊设置，学生提交作业时必需经过教师审批通过后才可提交，教师可以选择接收和拒绝学生提交的文件。并且教师可以限制学生提交文件的数目和大小。</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9、分组管理：教师可以新建，删除，重命名分组，添加和删除分组中的成员，设置小组长。分组信息随班级模型永久保存，下次上课可以直接使用保存的分组。</w:t>
            </w:r>
          </w:p>
          <w:p>
            <w:pPr>
              <w:numPr>
                <w:ilvl w:val="0"/>
                <w:numId w:val="0"/>
              </w:numPr>
              <w:spacing w:line="360" w:lineRule="exact"/>
              <w:ind w:left="0" w:leftChars="0" w:firstLine="0" w:firstLineChars="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10、签到：提供学生名单管理工具，为软件和考试模块提供实名验证。提供点名功能，支持保留学生多次登录记录、考勤统计、签到信息的导出。</w:t>
            </w:r>
          </w:p>
        </w:tc>
        <w:tc>
          <w:tcPr>
            <w:tcW w:w="825" w:type="dxa"/>
            <w:tcBorders>
              <w:top w:val="single" w:color="auto" w:sz="4" w:space="0"/>
              <w:left w:val="single" w:color="auto" w:sz="4" w:space="0"/>
              <w:right w:val="single" w:color="auto" w:sz="4" w:space="0"/>
            </w:tcBorders>
            <w:noWrap w:val="0"/>
            <w:vAlign w:val="center"/>
          </w:tcPr>
          <w:p>
            <w:pPr>
              <w:spacing w:beforeLines="0" w:afterLines="0"/>
              <w:ind w:left="0" w:leftChars="0" w:right="0" w:righ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61</w:t>
            </w:r>
          </w:p>
        </w:tc>
        <w:tc>
          <w:tcPr>
            <w:tcW w:w="1018" w:type="dxa"/>
            <w:tcBorders>
              <w:top w:val="single" w:color="auto" w:sz="4" w:space="0"/>
              <w:left w:val="single" w:color="auto" w:sz="4" w:space="0"/>
              <w:right w:val="single" w:color="auto" w:sz="4" w:space="0"/>
            </w:tcBorders>
            <w:noWrap w:val="0"/>
            <w:vAlign w:val="center"/>
          </w:tcPr>
          <w:p>
            <w:pPr>
              <w:spacing w:beforeLines="0" w:afterLines="0"/>
              <w:ind w:left="0" w:leftChars="0" w:right="0" w:righ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套</w:t>
            </w:r>
          </w:p>
        </w:tc>
        <w:tc>
          <w:tcPr>
            <w:tcW w:w="1350" w:type="dxa"/>
            <w:tcBorders>
              <w:top w:val="single" w:color="auto" w:sz="4" w:space="0"/>
              <w:left w:val="single" w:color="auto" w:sz="4" w:space="0"/>
              <w:right w:val="single" w:color="auto" w:sz="4" w:space="0"/>
            </w:tcBorders>
            <w:noWrap w:val="0"/>
            <w:vAlign w:val="center"/>
          </w:tcPr>
          <w:p>
            <w:pPr>
              <w:spacing w:beforeLines="0" w:afterLines="0"/>
              <w:ind w:left="0" w:leftChars="0" w:right="0" w:rightChars="0" w:firstLine="0" w:firstLineChars="0"/>
              <w:jc w:val="center"/>
              <w:rPr>
                <w:rFonts w:hint="eastAsia" w:ascii="宋体" w:hAnsi="宋体" w:eastAsia="宋体" w:cs="宋体"/>
                <w:color w:val="auto"/>
                <w:sz w:val="24"/>
                <w:szCs w:val="24"/>
              </w:rPr>
            </w:pPr>
          </w:p>
        </w:tc>
        <w:tc>
          <w:tcPr>
            <w:tcW w:w="1536" w:type="dxa"/>
            <w:tcBorders>
              <w:top w:val="single" w:color="auto" w:sz="4" w:space="0"/>
              <w:left w:val="single" w:color="auto" w:sz="4" w:space="0"/>
              <w:right w:val="single" w:color="auto" w:sz="4" w:space="0"/>
            </w:tcBorders>
            <w:noWrap w:val="0"/>
            <w:vAlign w:val="center"/>
          </w:tcPr>
          <w:p>
            <w:pPr>
              <w:tabs>
                <w:tab w:val="left" w:pos="15750"/>
              </w:tabs>
              <w:spacing w:beforeLines="0" w:afterLines="0"/>
              <w:ind w:left="0" w:leftChars="0" w:right="0" w:rightChars="0" w:firstLine="0" w:firstLineChars="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76" w:type="dxa"/>
            <w:tcBorders>
              <w:top w:val="single" w:color="auto" w:sz="4" w:space="0"/>
              <w:left w:val="single" w:color="auto" w:sz="4" w:space="0"/>
              <w:right w:val="single" w:color="auto" w:sz="4" w:space="0"/>
            </w:tcBorders>
            <w:noWrap w:val="0"/>
            <w:vAlign w:val="center"/>
          </w:tcPr>
          <w:p>
            <w:pPr>
              <w:spacing w:beforeLines="0" w:afterLines="0"/>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4</w:t>
            </w:r>
          </w:p>
        </w:tc>
        <w:tc>
          <w:tcPr>
            <w:tcW w:w="1127" w:type="dxa"/>
            <w:tcBorders>
              <w:top w:val="single" w:color="auto" w:sz="4" w:space="0"/>
              <w:left w:val="single" w:color="auto" w:sz="4" w:space="0"/>
              <w:right w:val="single" w:color="auto" w:sz="4" w:space="0"/>
            </w:tcBorders>
            <w:noWrap w:val="0"/>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终端交换机</w:t>
            </w:r>
          </w:p>
        </w:tc>
        <w:tc>
          <w:tcPr>
            <w:tcW w:w="3679"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★1、千兆电口≥48个、万兆光口≥4个、1个Console口</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2、交换性能≥336 Gbps，包转发率≥144 Mpps</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3、工作温度：0°C～50°C，存储温度：-40°C～70°C</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4、支持胖瘦一体化，支持智能交换机和普通交换机两种工作模式，可以根据不同的组网需要，随时灵活的进行切换</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★5、可通过配置静态IP地址，DHCP Option43方式，DNS域名等方式发现控制器平台</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6、支持通过控制器平台一键替换“按钮”即可完成故障设备替换</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7、支持STP、RSTP、MSTP协议，支持IGMP v1/v2/v3 Snooping</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8、支持IEEE 802.3az 标准的 EEE节能技术：当EEE使能时，从而大幅度的减小端口在该阶段的功耗，达到了节能的目的。</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9、支持MAC地址自动学习</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★10、为提高设备可靠性，支持M-LAG技术；</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11、 ★支持通过控制器平台查看交换机端口负载情况；</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★12、为保证内网安全性，防止病毒在内网横向传播，要求交换机具有东西向风险流量安全功能； </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★13、为禁止非法终端(例如私接路由器)接入，需支持终端类型库，能自动识别PC电脑终端、路由器、监控摄像头终端设备等；</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14、支持防网关ARP欺骗，管理员分级管理，支持防止DOS、ARP攻击功能</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15、支持通过APP进行远程管理，并且可以修改交换机网络配置；</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16、支持通过在控制器平台的Web页面对交换机进行可视化管理查看，包括交换机的端口状态及配置、vlan信息；</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★17、支持通过控制器平台对交换机端口进行开启与关闭；</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★18、支持安全状态页面中显示安全事件；</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19、支持交换机端口终端类型变更后，通过APP、短信告警；</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20、支持通过控制器平台查看交换机面板端口工作状态，通过端口颜色显示状态即可判断端口是否在线工作；</w:t>
            </w:r>
          </w:p>
          <w:p>
            <w:pPr>
              <w:numPr>
                <w:ilvl w:val="0"/>
                <w:numId w:val="0"/>
              </w:numPr>
              <w:spacing w:line="360" w:lineRule="exact"/>
              <w:ind w:left="0" w:leftChars="0" w:firstLine="0" w:firstLineChars="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★21、为实现远程运维，支持通过手机APP对交换机进行管理。</w:t>
            </w:r>
          </w:p>
        </w:tc>
        <w:tc>
          <w:tcPr>
            <w:tcW w:w="825" w:type="dxa"/>
            <w:tcBorders>
              <w:top w:val="single" w:color="auto" w:sz="4" w:space="0"/>
              <w:left w:val="single" w:color="auto" w:sz="4" w:space="0"/>
              <w:right w:val="single" w:color="auto" w:sz="4" w:space="0"/>
            </w:tcBorders>
            <w:noWrap w:val="0"/>
            <w:vAlign w:val="center"/>
          </w:tcPr>
          <w:p>
            <w:pPr>
              <w:spacing w:beforeLines="0" w:afterLines="0"/>
              <w:ind w:left="0" w:leftChars="0" w:right="0" w:righ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w:t>
            </w:r>
          </w:p>
        </w:tc>
        <w:tc>
          <w:tcPr>
            <w:tcW w:w="1018" w:type="dxa"/>
            <w:tcBorders>
              <w:top w:val="single" w:color="auto" w:sz="4" w:space="0"/>
              <w:left w:val="single" w:color="auto" w:sz="4" w:space="0"/>
              <w:right w:val="single" w:color="auto" w:sz="4" w:space="0"/>
            </w:tcBorders>
            <w:noWrap w:val="0"/>
            <w:vAlign w:val="center"/>
          </w:tcPr>
          <w:p>
            <w:pPr>
              <w:spacing w:beforeLines="0" w:afterLines="0"/>
              <w:ind w:left="0" w:leftChars="0" w:right="0" w:righ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台</w:t>
            </w:r>
          </w:p>
        </w:tc>
        <w:tc>
          <w:tcPr>
            <w:tcW w:w="1350" w:type="dxa"/>
            <w:tcBorders>
              <w:top w:val="single" w:color="auto" w:sz="4" w:space="0"/>
              <w:left w:val="single" w:color="auto" w:sz="4" w:space="0"/>
              <w:right w:val="single" w:color="auto" w:sz="4" w:space="0"/>
            </w:tcBorders>
            <w:noWrap w:val="0"/>
            <w:vAlign w:val="center"/>
          </w:tcPr>
          <w:p>
            <w:pPr>
              <w:spacing w:beforeLines="0" w:afterLines="0"/>
              <w:ind w:left="0" w:leftChars="0" w:right="0" w:rightChars="0" w:firstLine="0" w:firstLineChars="0"/>
              <w:jc w:val="center"/>
              <w:rPr>
                <w:rFonts w:hint="eastAsia" w:ascii="宋体" w:hAnsi="宋体" w:eastAsia="宋体" w:cs="宋体"/>
                <w:color w:val="auto"/>
                <w:sz w:val="24"/>
                <w:szCs w:val="24"/>
              </w:rPr>
            </w:pPr>
          </w:p>
        </w:tc>
        <w:tc>
          <w:tcPr>
            <w:tcW w:w="1536" w:type="dxa"/>
            <w:tcBorders>
              <w:top w:val="single" w:color="auto" w:sz="4" w:space="0"/>
              <w:left w:val="single" w:color="auto" w:sz="4" w:space="0"/>
              <w:right w:val="single" w:color="auto" w:sz="4" w:space="0"/>
            </w:tcBorders>
            <w:noWrap w:val="0"/>
            <w:vAlign w:val="center"/>
          </w:tcPr>
          <w:p>
            <w:pPr>
              <w:tabs>
                <w:tab w:val="left" w:pos="15750"/>
              </w:tabs>
              <w:spacing w:beforeLines="0" w:afterLines="0"/>
              <w:ind w:left="0" w:leftChars="0" w:right="0" w:rightChars="0" w:firstLine="0" w:firstLineChars="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76" w:type="dxa"/>
            <w:tcBorders>
              <w:top w:val="single" w:color="auto" w:sz="4" w:space="0"/>
              <w:left w:val="single" w:color="auto" w:sz="4" w:space="0"/>
              <w:right w:val="single" w:color="auto" w:sz="4" w:space="0"/>
            </w:tcBorders>
            <w:noWrap w:val="0"/>
            <w:vAlign w:val="center"/>
          </w:tcPr>
          <w:p>
            <w:pPr>
              <w:spacing w:beforeLines="0" w:afterLines="0"/>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5</w:t>
            </w:r>
          </w:p>
        </w:tc>
        <w:tc>
          <w:tcPr>
            <w:tcW w:w="1127" w:type="dxa"/>
            <w:tcBorders>
              <w:top w:val="single" w:color="auto" w:sz="4" w:space="0"/>
              <w:left w:val="single" w:color="auto" w:sz="4" w:space="0"/>
              <w:right w:val="single" w:color="auto" w:sz="4" w:space="0"/>
            </w:tcBorders>
            <w:noWrap w:val="0"/>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终端交换机</w:t>
            </w:r>
          </w:p>
        </w:tc>
        <w:tc>
          <w:tcPr>
            <w:tcW w:w="3679" w:type="dxa"/>
            <w:tcBorders>
              <w:top w:val="single" w:color="auto" w:sz="4" w:space="0"/>
              <w:left w:val="single" w:color="auto" w:sz="4" w:space="0"/>
              <w:bottom w:val="single" w:color="auto" w:sz="4" w:space="0"/>
              <w:right w:val="single" w:color="auto" w:sz="4" w:space="0"/>
            </w:tcBorders>
            <w:noWrap w:val="0"/>
            <w:vAlign w:val="top"/>
          </w:tcPr>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★1、千兆电口≥24个、万兆光口≥4个、1个Console口</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2、交换性能≥336 Gbps，包转发率≥108 Mpps</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3、工作温度：0°C～50°C，存储温度：-40°C～70°C</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4、支持胖瘦一体化，支持智能交换机和普通交换机两种工作模式，可以根据不同的组网需要，随时灵活的进行切换</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★5、可通过配置静态IP地址，DHCP Option43方式，DNS域名等方式发现控制器平台；</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6、支持通过控制器平台一键替换“按钮”即可完成故障设备替换</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7、支持STP、RSTP、MSTP协议，支持IGMP v1/v2/v3 Snooping</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8、支持IEEE 802.3az 标准的 EEE节能技术：当EEE使能时，从而大幅度的减小端口在该阶段的功耗，达到了节能的目的。</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9、支持MAC地址自动学习</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★10、为提高设备可靠性，支持M-LAG技术；</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★11、支持通过控制器平台查看交换机端口负载情况；</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★12、为保证内网安全性，防止病毒在内网横向传播，要求交换机具有东西向风险流量安全功能； </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★13、为禁止非法终端(例如私接路由器)接入，需支持终端类型库，能自动识别PC电脑终端、路由器、监控摄像头终端设备等；</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14、支持防网关ARP欺骗，管理员分级管理，支持防止DOS、ARP攻击功能</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15、支持通过APP进行远程管理，并且可以修改交换机网络配置；</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16、支持通过在控制器平台的Web页面对交换机进行可视化管理查看，包括交换机的端口状态及配置、vlan信息；</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★17、支持通过控制器平台对交换机端口进行开启与关闭；</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★18、支持安全状态页面中显示安全事件；</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19、支持交换机端口终端类型变更后，通过APP、短信告警；</w:t>
            </w:r>
          </w:p>
          <w:p>
            <w:pPr>
              <w:numPr>
                <w:ilvl w:val="0"/>
                <w:numId w:val="0"/>
              </w:numPr>
              <w:spacing w:line="360" w:lineRule="exact"/>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20、支持通过控制器平台查看交换机面板端口工作状态，通过端口颜色显示状态即可判断端口是否在线工作；</w:t>
            </w:r>
          </w:p>
          <w:p>
            <w:pPr>
              <w:numPr>
                <w:ilvl w:val="0"/>
                <w:numId w:val="0"/>
              </w:numPr>
              <w:spacing w:line="360" w:lineRule="exact"/>
              <w:ind w:left="0" w:leftChars="0" w:firstLine="0" w:firstLineChars="0"/>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★21、为实现远程运维，支持通过手机APP对交换机进行管理</w:t>
            </w:r>
          </w:p>
        </w:tc>
        <w:tc>
          <w:tcPr>
            <w:tcW w:w="825" w:type="dxa"/>
            <w:tcBorders>
              <w:top w:val="single" w:color="auto" w:sz="4" w:space="0"/>
              <w:left w:val="single" w:color="auto" w:sz="4" w:space="0"/>
              <w:right w:val="single" w:color="auto" w:sz="4" w:space="0"/>
            </w:tcBorders>
            <w:noWrap w:val="0"/>
            <w:vAlign w:val="center"/>
          </w:tcPr>
          <w:p>
            <w:pPr>
              <w:spacing w:beforeLines="0" w:afterLines="0"/>
              <w:ind w:left="0" w:leftChars="0" w:right="0" w:righ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w:t>
            </w:r>
          </w:p>
        </w:tc>
        <w:tc>
          <w:tcPr>
            <w:tcW w:w="1018" w:type="dxa"/>
            <w:tcBorders>
              <w:top w:val="single" w:color="auto" w:sz="4" w:space="0"/>
              <w:left w:val="single" w:color="auto" w:sz="4" w:space="0"/>
              <w:right w:val="single" w:color="auto" w:sz="4" w:space="0"/>
            </w:tcBorders>
            <w:noWrap w:val="0"/>
            <w:vAlign w:val="center"/>
          </w:tcPr>
          <w:p>
            <w:pPr>
              <w:spacing w:beforeLines="0" w:afterLines="0"/>
              <w:ind w:left="0" w:leftChars="0" w:right="0" w:righ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台</w:t>
            </w:r>
          </w:p>
        </w:tc>
        <w:tc>
          <w:tcPr>
            <w:tcW w:w="1350" w:type="dxa"/>
            <w:tcBorders>
              <w:top w:val="single" w:color="auto" w:sz="4" w:space="0"/>
              <w:left w:val="single" w:color="auto" w:sz="4" w:space="0"/>
              <w:right w:val="single" w:color="auto" w:sz="4" w:space="0"/>
            </w:tcBorders>
            <w:noWrap w:val="0"/>
            <w:vAlign w:val="center"/>
          </w:tcPr>
          <w:p>
            <w:pPr>
              <w:spacing w:beforeLines="0" w:afterLines="0"/>
              <w:ind w:left="0" w:leftChars="0" w:right="0" w:rightChars="0" w:firstLine="0" w:firstLineChars="0"/>
              <w:jc w:val="center"/>
              <w:rPr>
                <w:rFonts w:hint="eastAsia" w:ascii="宋体" w:hAnsi="宋体" w:eastAsia="宋体" w:cs="宋体"/>
                <w:color w:val="auto"/>
                <w:sz w:val="24"/>
                <w:szCs w:val="24"/>
              </w:rPr>
            </w:pPr>
          </w:p>
        </w:tc>
        <w:tc>
          <w:tcPr>
            <w:tcW w:w="1536" w:type="dxa"/>
            <w:tcBorders>
              <w:top w:val="single" w:color="auto" w:sz="4" w:space="0"/>
              <w:left w:val="single" w:color="auto" w:sz="4" w:space="0"/>
              <w:right w:val="single" w:color="auto" w:sz="4" w:space="0"/>
            </w:tcBorders>
            <w:noWrap w:val="0"/>
            <w:vAlign w:val="center"/>
          </w:tcPr>
          <w:p>
            <w:pPr>
              <w:tabs>
                <w:tab w:val="left" w:pos="15750"/>
              </w:tabs>
              <w:spacing w:beforeLines="0" w:afterLines="0"/>
              <w:ind w:left="0" w:leftChars="0" w:right="0" w:rightChars="0" w:firstLine="0" w:firstLineChars="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76" w:type="dxa"/>
            <w:tcBorders>
              <w:top w:val="single" w:color="auto" w:sz="4" w:space="0"/>
              <w:left w:val="single" w:color="auto" w:sz="4" w:space="0"/>
              <w:right w:val="single" w:color="auto" w:sz="4" w:space="0"/>
            </w:tcBorders>
            <w:noWrap w:val="0"/>
            <w:vAlign w:val="center"/>
          </w:tcPr>
          <w:p>
            <w:pPr>
              <w:spacing w:beforeLines="0" w:afterLines="0"/>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6</w:t>
            </w:r>
          </w:p>
        </w:tc>
        <w:tc>
          <w:tcPr>
            <w:tcW w:w="1127" w:type="dxa"/>
            <w:tcBorders>
              <w:top w:val="single" w:color="auto" w:sz="4" w:space="0"/>
              <w:left w:val="single" w:color="auto" w:sz="4" w:space="0"/>
              <w:right w:val="single" w:color="auto" w:sz="4" w:space="0"/>
            </w:tcBorders>
            <w:noWrap w:val="0"/>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服务器机柜</w:t>
            </w:r>
          </w:p>
        </w:tc>
        <w:tc>
          <w:tcPr>
            <w:tcW w:w="36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1、服务器机柜：≥高度1200mm；宽度≥600mm；深≥度1000mm(允许偏差值为±1mm）；</w:t>
            </w:r>
          </w:p>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 xml:space="preserve">2、最大静载达500KG,移动承载350KG； </w:t>
            </w:r>
          </w:p>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3、主架用料为：材料采用SPCC1.6mm厚优质冷轧钢板；</w:t>
            </w:r>
          </w:p>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 xml:space="preserve">4、安装方孔条为：≥2.0mm厚优质冷轧钢板；表面处理采用脱脂、酸洗磷化静电喷塑 ； </w:t>
            </w:r>
          </w:p>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 xml:space="preserve">机柜高温静电喷涂，表面处理细腻、美观 ； </w:t>
            </w:r>
          </w:p>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5、可方便拆卸的左右侧门和前后门；配轩风扇*2；托板*2；钢化玻璃前门；</w:t>
            </w:r>
          </w:p>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6、配备机柜专用电源。</w:t>
            </w:r>
          </w:p>
        </w:tc>
        <w:tc>
          <w:tcPr>
            <w:tcW w:w="825" w:type="dxa"/>
            <w:tcBorders>
              <w:top w:val="single" w:color="auto" w:sz="4" w:space="0"/>
              <w:left w:val="single" w:color="auto" w:sz="4" w:space="0"/>
              <w:right w:val="single" w:color="auto" w:sz="4" w:space="0"/>
            </w:tcBorders>
            <w:noWrap w:val="0"/>
            <w:vAlign w:val="center"/>
          </w:tcPr>
          <w:p>
            <w:pPr>
              <w:spacing w:beforeLines="0" w:afterLines="0"/>
              <w:ind w:left="0" w:leftChars="0" w:right="0" w:righ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w:t>
            </w:r>
          </w:p>
        </w:tc>
        <w:tc>
          <w:tcPr>
            <w:tcW w:w="1018" w:type="dxa"/>
            <w:tcBorders>
              <w:top w:val="single" w:color="auto" w:sz="4" w:space="0"/>
              <w:left w:val="single" w:color="auto" w:sz="4" w:space="0"/>
              <w:right w:val="single" w:color="auto" w:sz="4" w:space="0"/>
            </w:tcBorders>
            <w:noWrap w:val="0"/>
            <w:vAlign w:val="center"/>
          </w:tcPr>
          <w:p>
            <w:pPr>
              <w:spacing w:beforeLines="0" w:afterLines="0"/>
              <w:ind w:left="0" w:leftChars="0" w:right="0" w:righ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个</w:t>
            </w:r>
          </w:p>
        </w:tc>
        <w:tc>
          <w:tcPr>
            <w:tcW w:w="1350" w:type="dxa"/>
            <w:tcBorders>
              <w:top w:val="single" w:color="auto" w:sz="4" w:space="0"/>
              <w:left w:val="single" w:color="auto" w:sz="4" w:space="0"/>
              <w:right w:val="single" w:color="auto" w:sz="4" w:space="0"/>
            </w:tcBorders>
            <w:noWrap w:val="0"/>
            <w:vAlign w:val="center"/>
          </w:tcPr>
          <w:p>
            <w:pPr>
              <w:spacing w:beforeLines="0" w:afterLines="0"/>
              <w:ind w:left="0" w:leftChars="0" w:right="0" w:rightChars="0" w:firstLine="0" w:firstLineChars="0"/>
              <w:jc w:val="center"/>
              <w:rPr>
                <w:rFonts w:hint="eastAsia" w:ascii="宋体" w:hAnsi="宋体" w:eastAsia="宋体" w:cs="宋体"/>
                <w:color w:val="auto"/>
                <w:sz w:val="24"/>
                <w:szCs w:val="24"/>
              </w:rPr>
            </w:pPr>
          </w:p>
        </w:tc>
        <w:tc>
          <w:tcPr>
            <w:tcW w:w="1536" w:type="dxa"/>
            <w:tcBorders>
              <w:top w:val="single" w:color="auto" w:sz="4" w:space="0"/>
              <w:left w:val="single" w:color="auto" w:sz="4" w:space="0"/>
              <w:right w:val="single" w:color="auto" w:sz="4" w:space="0"/>
            </w:tcBorders>
            <w:noWrap w:val="0"/>
            <w:vAlign w:val="center"/>
          </w:tcPr>
          <w:p>
            <w:pPr>
              <w:tabs>
                <w:tab w:val="left" w:pos="15750"/>
              </w:tabs>
              <w:spacing w:beforeLines="0" w:afterLines="0"/>
              <w:ind w:left="0" w:leftChars="0" w:right="0" w:rightChars="0" w:firstLine="0" w:firstLineChars="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76" w:type="dxa"/>
            <w:tcBorders>
              <w:top w:val="single" w:color="auto" w:sz="4" w:space="0"/>
              <w:left w:val="single" w:color="auto" w:sz="4" w:space="0"/>
              <w:right w:val="single" w:color="auto" w:sz="4" w:space="0"/>
            </w:tcBorders>
            <w:noWrap w:val="0"/>
            <w:vAlign w:val="center"/>
          </w:tcPr>
          <w:p>
            <w:pPr>
              <w:spacing w:beforeLines="0" w:afterLines="0"/>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7</w:t>
            </w:r>
          </w:p>
        </w:tc>
        <w:tc>
          <w:tcPr>
            <w:tcW w:w="1127" w:type="dxa"/>
            <w:tcBorders>
              <w:top w:val="single" w:color="auto" w:sz="4" w:space="0"/>
              <w:left w:val="single" w:color="auto" w:sz="4" w:space="0"/>
              <w:right w:val="single" w:color="auto" w:sz="4" w:space="0"/>
            </w:tcBorders>
            <w:noWrap w:val="0"/>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壁挂式视频展台</w:t>
            </w:r>
          </w:p>
        </w:tc>
        <w:tc>
          <w:tcPr>
            <w:tcW w:w="36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一、硬件要求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1、采用≥800万像素摄像头；采用 USB五伏电源直接供电，无需额外配置电源适配器，环保无辐射；箱内USB连线采用隐藏式设计，箱内无可见连线且USB口下出，有效防止积尘，且方便布线和返修。</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2、A4大小拍摄幅面，1080P动态视频预览达到30帧/秒；托板及挂墙部分采用金属加强，托板可承重3kg，整机壁挂式安装。</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3、支持展台成像画面实时批注，预设多种笔划粗细及颜色供选择，且支持对展台成像画面联同批注内容进行同步缩放、移动。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4、展示托板正上方具备LED补光灯，保证展示区域的亮度及展示效果，补光灯开关采用触摸按键设计，同时可通过交互智能平板中的软件直接控制开关；带自动对焦摄像头。</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5、具有故障自动检测功能：在调用展台却无法出现镜头采集画面信号时，可自动出现检测链接，并给出导致性原因（如硬件连接、摄像头占用、配套软件版本等问题）。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二、软件要求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1、支持对展台画面进行放大、缩小、旋转、自适应、冻结画面等操作。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2、支持展台画面实时批注，预设多种笔划粗细及颜色供选择，且支持对展台画面联同批注内容进行同步缩放、移动。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3、支持展台画面拍照截图并进行多图预览，可对任一图片进行全屏显示。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4、老师可在一体机或电脑上选择延时拍照功能，支持5秒或10秒延时模式，预留充足时间以便调整拍摄内容。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5、具备图像增强功能，可自动裁剪背景并增强文字显示，使文档画面更清晰。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可选择图像、文本或动态等多种情景模式，适应不同展示内容。支持故障自动检测，在软件无法出现展台拍摄画面时，自动出现检测链接，帮助用户检测无画面的原因，并给出引导性解决方案。可判断硬件连接、显卡驱动、摄像头占用、软件版本等问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7、支持二维码扫码功能：打开扫一扫功能后，将书本上的二维码放入扫描框内即可自动扫描，并进入系统浏览器获取二维码的链接内容，帮助老师快速获取电子教学资源。</w:t>
            </w:r>
          </w:p>
        </w:tc>
        <w:tc>
          <w:tcPr>
            <w:tcW w:w="825" w:type="dxa"/>
            <w:tcBorders>
              <w:top w:val="single" w:color="auto" w:sz="4" w:space="0"/>
              <w:left w:val="single" w:color="auto" w:sz="4" w:space="0"/>
              <w:right w:val="single" w:color="auto" w:sz="4" w:space="0"/>
            </w:tcBorders>
            <w:noWrap w:val="0"/>
            <w:vAlign w:val="center"/>
          </w:tcPr>
          <w:p>
            <w:pPr>
              <w:spacing w:beforeLines="0" w:afterLines="0"/>
              <w:ind w:left="0" w:leftChars="0" w:right="0" w:righ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w:t>
            </w:r>
          </w:p>
        </w:tc>
        <w:tc>
          <w:tcPr>
            <w:tcW w:w="1018" w:type="dxa"/>
            <w:tcBorders>
              <w:top w:val="single" w:color="auto" w:sz="4" w:space="0"/>
              <w:left w:val="single" w:color="auto" w:sz="4" w:space="0"/>
              <w:right w:val="single" w:color="auto" w:sz="4" w:space="0"/>
            </w:tcBorders>
            <w:noWrap w:val="0"/>
            <w:vAlign w:val="center"/>
          </w:tcPr>
          <w:p>
            <w:pPr>
              <w:spacing w:beforeLines="0" w:afterLines="0"/>
              <w:ind w:left="0" w:leftChars="0" w:right="0" w:righ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台</w:t>
            </w:r>
          </w:p>
        </w:tc>
        <w:tc>
          <w:tcPr>
            <w:tcW w:w="1350" w:type="dxa"/>
            <w:tcBorders>
              <w:top w:val="single" w:color="auto" w:sz="4" w:space="0"/>
              <w:left w:val="single" w:color="auto" w:sz="4" w:space="0"/>
              <w:right w:val="single" w:color="auto" w:sz="4" w:space="0"/>
            </w:tcBorders>
            <w:noWrap w:val="0"/>
            <w:vAlign w:val="center"/>
          </w:tcPr>
          <w:p>
            <w:pPr>
              <w:spacing w:beforeLines="0" w:afterLines="0"/>
              <w:ind w:left="0" w:leftChars="0" w:right="0" w:rightChars="0" w:firstLine="0" w:firstLineChars="0"/>
              <w:jc w:val="center"/>
              <w:rPr>
                <w:rFonts w:hint="eastAsia" w:ascii="宋体" w:hAnsi="宋体" w:eastAsia="宋体" w:cs="宋体"/>
                <w:color w:val="auto"/>
                <w:sz w:val="24"/>
                <w:szCs w:val="24"/>
              </w:rPr>
            </w:pPr>
          </w:p>
        </w:tc>
        <w:tc>
          <w:tcPr>
            <w:tcW w:w="1536" w:type="dxa"/>
            <w:tcBorders>
              <w:top w:val="single" w:color="auto" w:sz="4" w:space="0"/>
              <w:left w:val="single" w:color="auto" w:sz="4" w:space="0"/>
              <w:right w:val="single" w:color="auto" w:sz="4" w:space="0"/>
            </w:tcBorders>
            <w:noWrap w:val="0"/>
            <w:vAlign w:val="center"/>
          </w:tcPr>
          <w:p>
            <w:pPr>
              <w:tabs>
                <w:tab w:val="left" w:pos="15750"/>
              </w:tabs>
              <w:spacing w:beforeLines="0" w:afterLines="0"/>
              <w:ind w:left="0" w:leftChars="0" w:right="0" w:rightChars="0" w:firstLine="0" w:firstLineChars="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76" w:type="dxa"/>
            <w:tcBorders>
              <w:top w:val="single" w:color="auto" w:sz="4" w:space="0"/>
              <w:left w:val="single" w:color="auto" w:sz="4" w:space="0"/>
              <w:right w:val="single" w:color="auto" w:sz="4" w:space="0"/>
            </w:tcBorders>
            <w:noWrap w:val="0"/>
            <w:vAlign w:val="center"/>
          </w:tcPr>
          <w:p>
            <w:pPr>
              <w:spacing w:beforeLines="0" w:afterLines="0"/>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8</w:t>
            </w:r>
          </w:p>
        </w:tc>
        <w:tc>
          <w:tcPr>
            <w:tcW w:w="1127" w:type="dxa"/>
            <w:tcBorders>
              <w:top w:val="single" w:color="auto" w:sz="4" w:space="0"/>
              <w:left w:val="single" w:color="auto" w:sz="4" w:space="0"/>
              <w:right w:val="single" w:color="auto" w:sz="4" w:space="0"/>
            </w:tcBorders>
            <w:noWrap w:val="0"/>
            <w:vAlign w:val="center"/>
          </w:tcPr>
          <w:p>
            <w:pPr>
              <w:spacing w:beforeLines="0" w:afterLine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配套音箱</w:t>
            </w:r>
          </w:p>
        </w:tc>
        <w:tc>
          <w:tcPr>
            <w:tcW w:w="367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一、音响</w:t>
            </w:r>
          </w:p>
          <w:p>
            <w:pP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1.采用功放与有源音箱一体化设计，内置麦克风无线接收模块，帮助教师实现多媒体扩音以及本地扩声功能。</w:t>
            </w:r>
          </w:p>
          <w:p>
            <w:pP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2.输出额定功率≥ 2x15W。</w:t>
            </w:r>
          </w:p>
          <w:p>
            <w:pP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3.音箱灵敏度≥85dB，1W/1M。</w:t>
            </w:r>
          </w:p>
          <w:p>
            <w:pP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4.信噪比≥80dB@额定功率、A计权。</w:t>
            </w:r>
          </w:p>
          <w:p>
            <w:pP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5.全频喇叭单元尺寸≥5英寸。</w:t>
            </w:r>
          </w:p>
          <w:p>
            <w:pP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6.THD+N≤1%。</w:t>
            </w:r>
          </w:p>
          <w:p>
            <w:pP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7.声频响110Hz-16kHz。</w:t>
            </w:r>
          </w:p>
          <w:p>
            <w:pP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8.距离音箱10米处声压级≥75dB。</w:t>
            </w:r>
          </w:p>
          <w:p>
            <w:pP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9.具备≥1路电源开关、1路LINE IN、1路USB 接口。USB接口可外接U盘设备对音箱固件进行升级。</w:t>
            </w:r>
          </w:p>
          <w:p>
            <w:pP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10.★支持无线麦克风扩音接收，采用Wi-Fi射频2.4GHz与 5GHz双频段传输，有效避免环境中运营商U段（700MHz）的信号干扰。</w:t>
            </w:r>
          </w:p>
          <w:p>
            <w:pP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11.采用红外对码方式，避免连接到其他教室音箱。可快速完成与教学扩声麦克风对码，无需繁琐操作。</w:t>
            </w:r>
          </w:p>
          <w:p>
            <w:pP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12.配置独立音频数字信号处理芯片，支持啸叫抑制功能。</w:t>
            </w:r>
          </w:p>
          <w:p>
            <w:pP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13.支持蓝牙无线接收，可分享移动设备上的音频。支持密码模式，防止学生连接。</w:t>
            </w:r>
          </w:p>
          <w:p>
            <w:pP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14.★支持安卓手机通过蓝牙无线连接音箱，实现控制有源音箱的音量、设置蓝牙名称、设置蓝牙密码等功能，方便教师对音箱的管控。</w:t>
            </w:r>
          </w:p>
          <w:p>
            <w:pP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15.★支持交互智能平板显示设备通过蓝牙无线连接音箱，实现控制有源音箱的音量的功能。</w:t>
            </w:r>
          </w:p>
          <w:p>
            <w:pPr>
              <w:keepNext w:val="0"/>
              <w:keepLines w:val="0"/>
              <w:widowControl/>
              <w:suppressLineNumbers w:val="0"/>
              <w:jc w:val="left"/>
              <w:textAlignment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16.主音箱与副音箱采用有线连接，音箱采用木质材质，保证声音还原度。</w:t>
            </w:r>
          </w:p>
          <w:p>
            <w:pPr>
              <w:keepNext w:val="0"/>
              <w:keepLines w:val="0"/>
              <w:widowControl/>
              <w:suppressLineNumbers w:val="0"/>
              <w:jc w:val="left"/>
              <w:textAlignment w:val="center"/>
              <w:rPr>
                <w:rFonts w:hint="eastAsia" w:ascii="宋体" w:hAnsi="宋体" w:eastAsia="宋体" w:cs="宋体"/>
                <w:b w:val="0"/>
                <w:bCs w:val="0"/>
                <w:kern w:val="2"/>
                <w:sz w:val="24"/>
                <w:szCs w:val="24"/>
                <w:highlight w:val="none"/>
                <w:lang w:val="en-US" w:eastAsia="zh-CN" w:bidi="ar-SA"/>
              </w:rPr>
            </w:pPr>
            <w:r>
              <w:rPr>
                <w:rFonts w:hint="eastAsia" w:ascii="宋体" w:hAnsi="宋体" w:eastAsia="宋体" w:cs="宋体"/>
                <w:b w:val="0"/>
                <w:bCs w:val="0"/>
                <w:kern w:val="2"/>
                <w:sz w:val="24"/>
                <w:szCs w:val="24"/>
                <w:highlight w:val="none"/>
                <w:lang w:val="en-US" w:eastAsia="zh-CN" w:bidi="ar-SA"/>
              </w:rPr>
              <w:t>二、无线麦克风</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1.无线麦克风集音频发射处理器、天线、电池、拾音麦克风于一体，配合一体化有源音箱，无需任何外接辅助设备即可实现本地扩声功能。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2.采样率≥48KHz，16bit；扩音增益≥15dB；声频响100Hz-16kHz，底噪≤100uVrms，声信噪比≥60dB；配合一体化有源音箱，扩音延时≤35ms。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3.★用Wi-Fi射频频段传输，有效避免环境中运营商U段（700MHz）信号干扰。</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4.★支持2.4GHz与5G双频段工作，信道数量≥26个。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5.电续航时间≥5小时，满电状态可满足一天内7节课（45分钟/一节课）的高频授课，充电10分钟满足一节课（45分钟/一节课）授课时间。</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6.采用红外对码方式连接，避免连接到其他教室音箱。可在5S内快速完成与教学扩声音箱对码，无需繁琐操作。</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7.支持两个无线麦克风同时配对一个一体化有源音箱使用，实现两个麦克风混音输出进行扩音。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8.★具备Type-c外置麦克风接口，与充电接口复用。可搭配Type-C接口的麦克风进行使用，比如头戴式、挂耳式的外置麦克风。</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9.空旷无干扰的环境，无线传输有效距离≥15 米。</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10.一体化领夹设计，无需额外配件便可实现麦克风的领夹式使用。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11.外壳防火等级≥V1。</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825" w:type="dxa"/>
            <w:tcBorders>
              <w:top w:val="single" w:color="auto" w:sz="4" w:space="0"/>
              <w:left w:val="single" w:color="auto" w:sz="4" w:space="0"/>
              <w:right w:val="single" w:color="auto" w:sz="4" w:space="0"/>
            </w:tcBorders>
            <w:noWrap w:val="0"/>
            <w:vAlign w:val="center"/>
          </w:tcPr>
          <w:p>
            <w:pPr>
              <w:spacing w:beforeLines="0" w:afterLines="0"/>
              <w:ind w:left="0" w:leftChars="0" w:right="0" w:righ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w:t>
            </w:r>
          </w:p>
        </w:tc>
        <w:tc>
          <w:tcPr>
            <w:tcW w:w="1018" w:type="dxa"/>
            <w:tcBorders>
              <w:top w:val="single" w:color="auto" w:sz="4" w:space="0"/>
              <w:left w:val="single" w:color="auto" w:sz="4" w:space="0"/>
              <w:right w:val="single" w:color="auto" w:sz="4" w:space="0"/>
            </w:tcBorders>
            <w:noWrap w:val="0"/>
            <w:vAlign w:val="center"/>
          </w:tcPr>
          <w:p>
            <w:pPr>
              <w:spacing w:beforeLines="0" w:afterLines="0"/>
              <w:ind w:left="0" w:leftChars="0" w:right="0" w:righ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套</w:t>
            </w:r>
          </w:p>
        </w:tc>
        <w:tc>
          <w:tcPr>
            <w:tcW w:w="1350" w:type="dxa"/>
            <w:tcBorders>
              <w:top w:val="single" w:color="auto" w:sz="4" w:space="0"/>
              <w:left w:val="single" w:color="auto" w:sz="4" w:space="0"/>
              <w:right w:val="single" w:color="auto" w:sz="4" w:space="0"/>
            </w:tcBorders>
            <w:noWrap w:val="0"/>
            <w:vAlign w:val="center"/>
          </w:tcPr>
          <w:p>
            <w:pPr>
              <w:spacing w:beforeLines="0" w:afterLines="0"/>
              <w:ind w:left="0" w:leftChars="0" w:right="0" w:rightChars="0" w:firstLine="0" w:firstLineChars="0"/>
              <w:jc w:val="center"/>
              <w:rPr>
                <w:rFonts w:hint="eastAsia" w:ascii="宋体" w:hAnsi="宋体" w:eastAsia="宋体" w:cs="宋体"/>
                <w:color w:val="auto"/>
                <w:sz w:val="24"/>
                <w:szCs w:val="24"/>
              </w:rPr>
            </w:pPr>
          </w:p>
        </w:tc>
        <w:tc>
          <w:tcPr>
            <w:tcW w:w="1536" w:type="dxa"/>
            <w:tcBorders>
              <w:top w:val="single" w:color="auto" w:sz="4" w:space="0"/>
              <w:left w:val="single" w:color="auto" w:sz="4" w:space="0"/>
              <w:right w:val="single" w:color="auto" w:sz="4" w:space="0"/>
            </w:tcBorders>
            <w:noWrap w:val="0"/>
            <w:vAlign w:val="center"/>
          </w:tcPr>
          <w:p>
            <w:pPr>
              <w:tabs>
                <w:tab w:val="left" w:pos="15750"/>
              </w:tabs>
              <w:spacing w:beforeLines="0" w:afterLines="0"/>
              <w:ind w:left="0" w:leftChars="0" w:right="0" w:rightChars="0" w:firstLine="0" w:firstLineChars="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76"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9</w:t>
            </w:r>
          </w:p>
        </w:tc>
        <w:tc>
          <w:tcPr>
            <w:tcW w:w="1127"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rPr>
              <w:t>推拉黑板</w:t>
            </w:r>
          </w:p>
        </w:tc>
        <w:tc>
          <w:tcPr>
            <w:tcW w:w="36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结构：推拉板由大框及四块同等大小的书写板组装而成，书写板分内外双层结构，内层为两块固定书写板与液晶一体机正面平齐，外层为两块滑动书写板，开闭自如确保液晶一体机的安全管理。（中标人提供图样，经使用人同意后方可实施）</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2、基本尺寸：≥4300mm×1300mm，可根据所配电子产品适当调整，确保与电子产品的有效配套。</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3、书写板面：采用280℃高温烤漆板面，具体面板颜色根据使用人要求定、亚光，厚度≥0.32mm，漆膜硬度6H，粗糙度Ra1.6-3.2um，光泽度≤6﹪，没有明显眩光，板面表面附有一层透明保护膜，符合GB/T 28231-2011《书写板安全卫生要求》（中标人提供图样，经使用人同意后方可实施）。</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4、内芯材料：高强度、吸音、聚苯乙烯泡沫板，采用国际适用工艺，书写无吱咔声，改善书写手感。</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5、背板：采用优质防锈热镀锌钢板。</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6、板面与衬板粘贴：采用环保型双组份聚氨酯胶水1:1配置，使用自动化覆板流水线作业，喷胶、压固、切割下料一次成型，确保粘接牢固板面平整。</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7、边框：采用工业用高强度铝合金型材，电泳香槟色，模具挤压一次成型，上框规格57mm×100mm，左右框规格29mm×100mm，横（立）框采用双层加强结构，厚度≥15mm。轨道上置隐藏式平滑轮滑道，结构性解决滑轮受粉尘影响的情况，配有宽度≥30mm的粉尘槽，粉尘槽与滑动系统分离，与边框一次模具成形，防止粉尘垂直落地。</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8、包角材料：采用抗老化高强度ABS工程塑料注塑成型。规格：100mm×29mm×29mm，采用双壁成腔流线型设计，≥R25mm的圆角，无尖角毛刺，符合JY0001-2003《教学仪器设备产品一般质量要求》。</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9、黑板滑轮：上轨采用减震消音双组吊轮，滑轮使用高精度轴承，下轨采用双组滑块，保证滑动流畅、噪音小、前后定位精确不晃动、滑动板前后晃动小于0.5mm，经久耐用。数目各4组，上下均匀安装，推拉顺畅自如，无卡挤现象和尖锐的摩擦声，稳定性好。</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10、除尘装置：外下框两侧各开一个直径25mm的圆孔，配置100*80mm的抽拉式粉尘盒，粉尘盒可拆卸清洁。</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11、限位档：黑板边框内部两侧安装滑动板限位档，防止活动黑板开启时撞击立框。</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12、易维护性：一体机上下配同色同质书写板，上下可根据一体机尺寸进行微调，两侧用H型边框与固定板配合，可自由拆装。使一体机不用拆整个黑板即可直接拆装维护，减少麻烦，延长使用寿命。</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13、安全性：一把锁实现对滑动黑板的锁定，钥匙通用，方便实用。</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14、根据所选黑板，提供书写耗材一套：</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（1）不同颜色的水溶性粉笔各一盒，盒装≥20支/盒；专用笔套≥2支；清洗装置≥1套，专用板擦≥1个。</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或者</w:t>
            </w:r>
          </w:p>
          <w:p>
            <w:pPr>
              <w:keepNext w:val="0"/>
              <w:keepLines w:val="0"/>
              <w:widowControl/>
              <w:suppressLineNumbers w:val="0"/>
              <w:jc w:val="left"/>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color w:val="000000"/>
                <w:sz w:val="24"/>
                <w:szCs w:val="24"/>
                <w:highlight w:val="none"/>
              </w:rPr>
              <w:t>（2）新型成膜墨水笔≥3支（红色蓝色黑色各1支）；环保墨水≥3瓶（红色蓝色黑色各1瓶），墨水容量每瓶100ml；板擦≥1个；黑板专用清洁毛巾 ≥1条。</w:t>
            </w:r>
          </w:p>
        </w:tc>
        <w:tc>
          <w:tcPr>
            <w:tcW w:w="825"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ind w:left="0" w:leftChars="0" w:right="0" w:righ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1</w:t>
            </w:r>
          </w:p>
        </w:tc>
        <w:tc>
          <w:tcPr>
            <w:tcW w:w="1018"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ind w:left="0" w:leftChars="0" w:right="0" w:righ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套</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ind w:left="0" w:leftChars="0" w:right="0" w:rightChars="0" w:firstLine="0" w:firstLineChars="0"/>
              <w:jc w:val="center"/>
              <w:rPr>
                <w:rFonts w:hint="eastAsia" w:ascii="宋体" w:hAnsi="宋体" w:eastAsia="宋体" w:cs="宋体"/>
                <w:color w:val="auto"/>
                <w:sz w:val="24"/>
                <w:szCs w:val="24"/>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pPr>
              <w:tabs>
                <w:tab w:val="left" w:pos="15750"/>
              </w:tabs>
              <w:spacing w:beforeLines="0" w:afterLines="0"/>
              <w:ind w:left="0" w:leftChars="0" w:right="0" w:rightChars="0" w:firstLine="0" w:firstLineChars="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111"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cs="宋体"/>
                <w:kern w:val="0"/>
                <w:sz w:val="24"/>
              </w:rPr>
            </w:pPr>
            <w:r>
              <w:rPr>
                <w:rFonts w:hint="eastAsia" w:ascii="宋体" w:hAnsi="宋体" w:cs="宋体"/>
                <w:kern w:val="0"/>
                <w:sz w:val="24"/>
              </w:rPr>
              <w:t>质保期、交货时间、服务地点、售后服务和维保响应时间：</w:t>
            </w:r>
          </w:p>
          <w:p>
            <w:pPr>
              <w:widowControl/>
              <w:jc w:val="center"/>
              <w:rPr>
                <w:rFonts w:hint="eastAsia" w:ascii="宋体" w:hAnsi="宋体" w:cs="宋体"/>
                <w:kern w:val="0"/>
                <w:sz w:val="24"/>
              </w:rPr>
            </w:pPr>
          </w:p>
          <w:p>
            <w:pPr>
              <w:pStyle w:val="2"/>
              <w:rPr>
                <w:rFonts w:hint="eastAsia" w:ascii="宋体" w:hAnsi="宋体" w:cs="宋体"/>
                <w:kern w:val="0"/>
                <w:sz w:val="24"/>
              </w:rPr>
            </w:pPr>
          </w:p>
          <w:p>
            <w:pPr>
              <w:rPr>
                <w:rFonts w:hint="eastAsia"/>
              </w:rPr>
            </w:pPr>
          </w:p>
          <w:p>
            <w:pPr>
              <w:widowControl/>
              <w:jc w:val="both"/>
              <w:rPr>
                <w:rFonts w:hint="eastAsia" w:ascii="宋体" w:hAnsi="宋体" w:cs="宋体"/>
                <w:kern w:val="0"/>
                <w:sz w:val="24"/>
              </w:rPr>
            </w:pPr>
            <w:r>
              <w:rPr>
                <w:rFonts w:hint="eastAsia" w:ascii="宋体" w:hAnsi="宋体" w:cs="宋体"/>
                <w:kern w:val="0"/>
                <w:sz w:val="24"/>
              </w:rPr>
              <w:t>报价金额： 人民币（大写）：               人民币（小写）：</w:t>
            </w:r>
          </w:p>
          <w:p>
            <w:pPr>
              <w:widowControl/>
              <w:jc w:val="center"/>
              <w:rPr>
                <w:rFonts w:hint="eastAsia" w:ascii="宋体" w:hAnsi="宋体" w:cs="宋体"/>
                <w:kern w:val="0"/>
                <w:sz w:val="24"/>
              </w:rPr>
            </w:pPr>
          </w:p>
          <w:p>
            <w:pPr>
              <w:widowControl/>
              <w:jc w:val="both"/>
              <w:rPr>
                <w:rFonts w:hint="eastAsia" w:ascii="宋体" w:hAnsi="宋体" w:cs="宋体"/>
                <w:kern w:val="0"/>
                <w:sz w:val="24"/>
              </w:rPr>
            </w:pPr>
            <w:r>
              <w:rPr>
                <w:rFonts w:hint="eastAsia" w:ascii="宋体" w:hAnsi="宋体" w:cs="宋体"/>
                <w:kern w:val="0"/>
                <w:sz w:val="24"/>
              </w:rPr>
              <w:t>注:</w:t>
            </w:r>
          </w:p>
          <w:p>
            <w:pPr>
              <w:widowControl/>
              <w:jc w:val="both"/>
              <w:rPr>
                <w:rFonts w:hint="eastAsia" w:ascii="宋体" w:hAnsi="宋体" w:cs="宋体"/>
                <w:kern w:val="0"/>
                <w:sz w:val="24"/>
              </w:rPr>
            </w:pPr>
            <w:r>
              <w:rPr>
                <w:rFonts w:hint="eastAsia" w:ascii="宋体" w:hAnsi="宋体" w:cs="宋体"/>
                <w:kern w:val="0"/>
                <w:sz w:val="24"/>
              </w:rPr>
              <w:t>1、报价一经涂改，应在涂改处加盖单位公章，否则其报价作无效标处理。</w:t>
            </w:r>
          </w:p>
          <w:p>
            <w:pPr>
              <w:widowControl/>
              <w:jc w:val="left"/>
              <w:rPr>
                <w:rFonts w:hint="eastAsia" w:ascii="宋体" w:hAnsi="宋体" w:cs="宋体"/>
                <w:kern w:val="0"/>
                <w:sz w:val="24"/>
              </w:rPr>
            </w:pPr>
            <w:r>
              <w:rPr>
                <w:rFonts w:hint="eastAsia" w:ascii="宋体" w:hAnsi="宋体" w:cs="宋体"/>
                <w:kern w:val="0"/>
                <w:sz w:val="24"/>
              </w:rPr>
              <w:t>2、密封报价包括项目实施所需的材料费、设备费、人工费、服务费、运输费、安装调试费、税费及其他一切费用。</w:t>
            </w:r>
          </w:p>
          <w:p>
            <w:pPr>
              <w:tabs>
                <w:tab w:val="left" w:pos="15750"/>
              </w:tabs>
              <w:spacing w:beforeLines="0" w:afterLines="0"/>
              <w:ind w:left="0" w:leftChars="0" w:right="0" w:rightChars="0" w:firstLine="0" w:firstLineChars="0"/>
              <w:jc w:val="both"/>
              <w:rPr>
                <w:rFonts w:hint="eastAsia" w:ascii="宋体" w:hAnsi="宋体" w:cs="宋体"/>
                <w:kern w:val="0"/>
                <w:sz w:val="24"/>
              </w:rPr>
            </w:pPr>
            <w:r>
              <w:rPr>
                <w:rFonts w:hint="eastAsia" w:ascii="宋体" w:hAnsi="宋体" w:cs="宋体"/>
                <w:kern w:val="0"/>
                <w:sz w:val="24"/>
              </w:rPr>
              <w:t>3、请把上述的报价材料密封好，并在密封袋上注明报价人名称、联系人及电话</w:t>
            </w:r>
          </w:p>
          <w:p>
            <w:pPr>
              <w:tabs>
                <w:tab w:val="left" w:pos="15750"/>
              </w:tabs>
              <w:spacing w:beforeLines="0" w:afterLines="0"/>
              <w:ind w:left="0" w:leftChars="0" w:right="0" w:rightChars="0" w:firstLine="0" w:firstLineChars="0"/>
              <w:jc w:val="both"/>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4、为满足产品性能质量符合使用需求，报价时以下产品必须提供证明文件，否则报价无效。</w:t>
            </w:r>
          </w:p>
          <w:p>
            <w:pPr>
              <w:tabs>
                <w:tab w:val="left" w:pos="15750"/>
              </w:tabs>
              <w:spacing w:beforeLines="0" w:afterLines="0"/>
              <w:ind w:left="0" w:leftChars="0" w:right="0" w:rightChars="0" w:firstLine="0" w:firstLineChars="0"/>
              <w:jc w:val="both"/>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（1）序号2【</w:t>
            </w:r>
            <w:r>
              <w:rPr>
                <w:rFonts w:hint="eastAsia" w:ascii="宋体" w:hAnsi="宋体" w:cs="宋体"/>
                <w:kern w:val="0"/>
                <w:sz w:val="24"/>
                <w:highlight w:val="none"/>
              </w:rPr>
              <w:t>终端接入授权</w:t>
            </w:r>
            <w:r>
              <w:rPr>
                <w:rFonts w:hint="eastAsia" w:ascii="宋体" w:hAnsi="宋体" w:cs="宋体"/>
                <w:kern w:val="0"/>
                <w:sz w:val="24"/>
                <w:highlight w:val="none"/>
                <w:lang w:val="en-US" w:eastAsia="zh-CN"/>
              </w:rPr>
              <w:t>】按性能参数要求提供证明文件；</w:t>
            </w:r>
          </w:p>
          <w:p>
            <w:pPr>
              <w:tabs>
                <w:tab w:val="left" w:pos="15750"/>
              </w:tabs>
              <w:spacing w:beforeLines="0" w:afterLines="0"/>
              <w:ind w:left="0" w:leftChars="0" w:right="0" w:rightChars="0" w:firstLine="0" w:firstLineChars="0"/>
              <w:jc w:val="both"/>
              <w:rPr>
                <w:rFonts w:hint="default"/>
                <w:lang w:val="en-US" w:eastAsia="zh-CN"/>
              </w:rPr>
            </w:pPr>
            <w:r>
              <w:rPr>
                <w:rFonts w:hint="eastAsia" w:ascii="宋体" w:hAnsi="宋体" w:cs="宋体"/>
                <w:kern w:val="0"/>
                <w:sz w:val="24"/>
                <w:highlight w:val="none"/>
                <w:lang w:val="en-US" w:eastAsia="zh-CN"/>
              </w:rPr>
              <w:t>（2）序号3【</w:t>
            </w:r>
            <w:r>
              <w:rPr>
                <w:rFonts w:hint="eastAsia" w:ascii="宋体" w:hAnsi="宋体" w:cs="宋体"/>
                <w:kern w:val="0"/>
                <w:sz w:val="24"/>
                <w:highlight w:val="none"/>
              </w:rPr>
              <w:t>终端交换机</w:t>
            </w:r>
            <w:r>
              <w:rPr>
                <w:rFonts w:hint="eastAsia" w:ascii="宋体" w:hAnsi="宋体" w:cs="宋体"/>
                <w:kern w:val="0"/>
                <w:sz w:val="24"/>
                <w:highlight w:val="none"/>
                <w:lang w:val="en-US" w:eastAsia="zh-CN"/>
              </w:rPr>
              <w:t>】性能参数第5、10、11、12、13、17、18、21点必须提供功能界面截图。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111"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ascii="宋体" w:hAnsi="宋体" w:cs="宋体"/>
                <w:kern w:val="0"/>
                <w:sz w:val="24"/>
              </w:rPr>
              <w:t>报价人名称（盖章）：</w:t>
            </w:r>
          </w:p>
          <w:p>
            <w:pPr>
              <w:widowControl/>
              <w:jc w:val="center"/>
              <w:rPr>
                <w:rFonts w:hint="eastAsia" w:ascii="宋体" w:hAnsi="宋体" w:cs="宋体"/>
                <w:kern w:val="0"/>
                <w:sz w:val="24"/>
              </w:rPr>
            </w:pPr>
          </w:p>
          <w:p>
            <w:pPr>
              <w:widowControl/>
              <w:jc w:val="both"/>
              <w:rPr>
                <w:rFonts w:hint="eastAsia" w:ascii="宋体" w:hAnsi="宋体" w:cs="宋体"/>
                <w:kern w:val="0"/>
                <w:sz w:val="24"/>
              </w:rPr>
            </w:pPr>
            <w:r>
              <w:rPr>
                <w:rFonts w:hint="eastAsia" w:ascii="宋体" w:hAnsi="宋体" w:cs="宋体"/>
                <w:kern w:val="0"/>
                <w:sz w:val="24"/>
              </w:rPr>
              <w:t>法定代表人或授权代表（签字或盖章）：</w:t>
            </w:r>
          </w:p>
          <w:p>
            <w:pPr>
              <w:widowControl/>
              <w:jc w:val="center"/>
              <w:rPr>
                <w:rFonts w:hint="eastAsia" w:ascii="宋体" w:hAnsi="宋体" w:cs="宋体"/>
                <w:kern w:val="0"/>
                <w:sz w:val="24"/>
              </w:rPr>
            </w:pPr>
          </w:p>
          <w:p>
            <w:pPr>
              <w:pStyle w:val="2"/>
              <w:rPr>
                <w:rFonts w:hint="eastAsia"/>
              </w:rPr>
            </w:pPr>
          </w:p>
          <w:p>
            <w:pPr>
              <w:widowControl/>
              <w:jc w:val="both"/>
              <w:rPr>
                <w:rFonts w:hint="eastAsia" w:ascii="宋体" w:hAnsi="宋体" w:cs="宋体"/>
                <w:kern w:val="0"/>
                <w:sz w:val="24"/>
              </w:rPr>
            </w:pPr>
            <w:r>
              <w:rPr>
                <w:rFonts w:hint="eastAsia" w:ascii="宋体" w:hAnsi="宋体" w:cs="宋体"/>
                <w:kern w:val="0"/>
                <w:sz w:val="24"/>
              </w:rPr>
              <w:t>联系人:</w:t>
            </w:r>
          </w:p>
          <w:p>
            <w:pPr>
              <w:widowControl/>
              <w:jc w:val="center"/>
              <w:rPr>
                <w:rFonts w:hint="eastAsia" w:ascii="宋体" w:hAnsi="宋体" w:cs="宋体"/>
                <w:kern w:val="0"/>
                <w:sz w:val="24"/>
              </w:rPr>
            </w:pPr>
          </w:p>
          <w:p>
            <w:pPr>
              <w:widowControl/>
              <w:jc w:val="both"/>
              <w:rPr>
                <w:rFonts w:hint="eastAsia" w:ascii="宋体" w:hAnsi="宋体" w:cs="宋体"/>
                <w:kern w:val="0"/>
                <w:sz w:val="24"/>
              </w:rPr>
            </w:pPr>
            <w:r>
              <w:rPr>
                <w:rFonts w:hint="eastAsia" w:ascii="宋体" w:hAnsi="宋体" w:cs="宋体"/>
                <w:kern w:val="0"/>
                <w:sz w:val="24"/>
              </w:rPr>
              <w:t>手机号码：</w:t>
            </w:r>
          </w:p>
          <w:p>
            <w:pPr>
              <w:widowControl/>
              <w:jc w:val="center"/>
              <w:rPr>
                <w:rFonts w:hint="eastAsia" w:ascii="宋体" w:hAnsi="宋体" w:cs="宋体"/>
                <w:kern w:val="0"/>
                <w:sz w:val="24"/>
              </w:rPr>
            </w:pPr>
          </w:p>
          <w:p>
            <w:pPr>
              <w:widowControl/>
              <w:jc w:val="both"/>
              <w:rPr>
                <w:rFonts w:hint="eastAsia" w:ascii="宋体" w:hAnsi="宋体" w:cs="宋体"/>
                <w:kern w:val="0"/>
                <w:sz w:val="24"/>
              </w:rPr>
            </w:pPr>
            <w:r>
              <w:rPr>
                <w:rFonts w:hint="eastAsia" w:ascii="宋体" w:hAnsi="宋体" w:cs="宋体"/>
                <w:kern w:val="0"/>
                <w:sz w:val="24"/>
              </w:rPr>
              <w:t>办公室电话 ：</w:t>
            </w:r>
          </w:p>
          <w:p>
            <w:pPr>
              <w:widowControl/>
              <w:jc w:val="center"/>
              <w:rPr>
                <w:rFonts w:hint="eastAsia" w:ascii="宋体" w:hAnsi="宋体" w:cs="宋体"/>
                <w:kern w:val="0"/>
                <w:sz w:val="24"/>
              </w:rPr>
            </w:pPr>
          </w:p>
          <w:p>
            <w:pPr>
              <w:tabs>
                <w:tab w:val="left" w:pos="15750"/>
              </w:tabs>
              <w:spacing w:beforeLines="0" w:afterLines="0"/>
              <w:ind w:left="0" w:leftChars="0" w:right="0" w:rightChars="0" w:firstLine="0" w:firstLineChars="0"/>
              <w:jc w:val="left"/>
              <w:rPr>
                <w:rFonts w:hint="eastAsia" w:ascii="宋体" w:hAnsi="宋体" w:eastAsia="宋体" w:cs="宋体"/>
                <w:color w:val="auto"/>
                <w:sz w:val="24"/>
                <w:szCs w:val="24"/>
              </w:rPr>
            </w:pPr>
            <w:r>
              <w:rPr>
                <w:rFonts w:hint="eastAsia" w:ascii="宋体" w:hAnsi="宋体" w:cs="宋体"/>
                <w:kern w:val="0"/>
                <w:sz w:val="24"/>
              </w:rPr>
              <w:t>日期：</w:t>
            </w:r>
          </w:p>
        </w:tc>
      </w:tr>
    </w:tbl>
    <w:p/>
    <w:sectPr>
      <w:footerReference r:id="rId3" w:type="default"/>
      <w:pgSz w:w="11906" w:h="16838"/>
      <w:pgMar w:top="720" w:right="720" w:bottom="720" w:left="7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宋体-简">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6</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MGZlMTI0ZTVhOWUwY2E5MTJhMDRkYTBjY2FiNzgifQ=="/>
  </w:docVars>
  <w:rsids>
    <w:rsidRoot w:val="00000000"/>
    <w:rsid w:val="05321DB4"/>
    <w:rsid w:val="07AF40C5"/>
    <w:rsid w:val="0EF37117"/>
    <w:rsid w:val="12AD05DB"/>
    <w:rsid w:val="1A097E40"/>
    <w:rsid w:val="21176C9D"/>
    <w:rsid w:val="2C9E5E93"/>
    <w:rsid w:val="347B7EF2"/>
    <w:rsid w:val="3A425AEA"/>
    <w:rsid w:val="3BEC315B"/>
    <w:rsid w:val="3F615291"/>
    <w:rsid w:val="404E5C3D"/>
    <w:rsid w:val="46193BC5"/>
    <w:rsid w:val="4B70124E"/>
    <w:rsid w:val="562779E2"/>
    <w:rsid w:val="5A4E2050"/>
    <w:rsid w:val="67544F11"/>
    <w:rsid w:val="68E92CAD"/>
    <w:rsid w:val="7F2477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6"/>
    <w:basedOn w:val="1"/>
    <w:next w:val="1"/>
    <w:semiHidden/>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tabs>
        <w:tab w:val="right" w:leader="dot" w:pos="8296"/>
        <w:tab w:val="right" w:leader="dot" w:pos="8398"/>
      </w:tabs>
      <w:spacing w:before="120" w:after="120" w:line="480" w:lineRule="auto"/>
      <w:ind w:firstLine="1415" w:firstLineChars="393"/>
      <w:jc w:val="left"/>
    </w:pPr>
    <w:rPr>
      <w:rFonts w:ascii="仿宋_GB2312" w:hAnsi="宋体" w:eastAsia="仿宋_GB2312" w:cs="Courier New"/>
      <w:bCs/>
      <w:caps/>
    </w:rPr>
  </w:style>
  <w:style w:type="paragraph" w:styleId="4">
    <w:name w:val="Body Text Indent"/>
    <w:basedOn w:val="1"/>
    <w:next w:val="5"/>
    <w:qFormat/>
    <w:uiPriority w:val="0"/>
    <w:pPr>
      <w:ind w:firstLine="830" w:firstLineChars="352"/>
    </w:pPr>
    <w:rPr>
      <w:rFonts w:ascii="仿宋_GB2312" w:hAnsi="Times New Roman" w:eastAsia="仿宋_GB2312"/>
      <w:kern w:val="0"/>
      <w:sz w:val="32"/>
      <w:szCs w:val="20"/>
    </w:rPr>
  </w:style>
  <w:style w:type="paragraph" w:styleId="5">
    <w:name w:val="envelope return"/>
    <w:basedOn w:val="1"/>
    <w:qFormat/>
    <w:uiPriority w:val="0"/>
    <w:pPr>
      <w:adjustRightInd w:val="0"/>
      <w:snapToGrid w:val="0"/>
      <w:spacing w:line="360" w:lineRule="atLeast"/>
      <w:ind w:firstLine="640" w:firstLineChars="200"/>
      <w:jc w:val="center"/>
    </w:pPr>
    <w:rPr>
      <w:rFonts w:ascii="Arial" w:hAnsi="Arial" w:eastAsia="宋体" w:cs="Times New Roman"/>
      <w:sz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4"/>
    <w:qFormat/>
    <w:uiPriority w:val="99"/>
    <w:pPr>
      <w:adjustRightInd w:val="0"/>
      <w:snapToGrid w:val="0"/>
      <w:spacing w:line="360" w:lineRule="atLeast"/>
      <w:ind w:left="420" w:firstLine="420" w:firstLineChars="200"/>
      <w:jc w:val="center"/>
    </w:pPr>
    <w:rPr>
      <w:rFonts w:ascii="Times New Roman"/>
      <w:szCs w:val="24"/>
    </w:rPr>
  </w:style>
  <w:style w:type="table" w:styleId="11">
    <w:name w:val="Table Grid"/>
    <w:basedOn w:val="1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font31"/>
    <w:basedOn w:val="12"/>
    <w:qFormat/>
    <w:uiPriority w:val="0"/>
    <w:rPr>
      <w:rFonts w:hint="eastAsia" w:ascii="微软雅黑" w:hAnsi="微软雅黑" w:eastAsia="微软雅黑" w:cs="微软雅黑"/>
      <w:color w:val="000000"/>
      <w:sz w:val="20"/>
      <w:szCs w:val="20"/>
      <w:u w:val="none"/>
    </w:rPr>
  </w:style>
  <w:style w:type="character" w:customStyle="1" w:styleId="14">
    <w:name w:val="font61"/>
    <w:basedOn w:val="12"/>
    <w:qFormat/>
    <w:uiPriority w:val="0"/>
    <w:rPr>
      <w:rFonts w:ascii="宋体-简" w:hAnsi="宋体-简" w:eastAsia="宋体-简" w:cs="宋体-简"/>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4256</Words>
  <Characters>4333</Characters>
  <Lines>0</Lines>
  <Paragraphs>0</Paragraphs>
  <TotalTime>4</TotalTime>
  <ScaleCrop>false</ScaleCrop>
  <LinksUpToDate>false</LinksUpToDate>
  <CharactersWithSpaces>4337</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2023-10-26T17:21:00Z</dcterms:created>
  <dc:creator>曾</dc:creator>
  <cp:lastModifiedBy>鱼仔</cp:lastModifiedBy>
  <dcterms:modified xsi:type="dcterms:W3CDTF">2023-11-14T09:15:25Z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E42A779B8F054C44AAB94137F7C70F53_13</vt:lpwstr>
  </property>
</Properties>
</file>