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仿宋_GB2312" w:hAnsi="方正仿宋_GB2312" w:eastAsia="方正仿宋_GB2312" w:cs="方正仿宋_GB2312"/>
          <w:b/>
          <w:sz w:val="21"/>
          <w:szCs w:val="21"/>
          <w:shd w:val="clear" w:color="auto" w:fill="FFFFFF"/>
          <w:lang w:val="en-US" w:eastAsia="zh-CN"/>
        </w:rPr>
      </w:pPr>
      <w:r>
        <w:rPr>
          <w:rFonts w:hint="eastAsia" w:ascii="方正仿宋_GB2312" w:hAnsi="方正仿宋_GB2312" w:eastAsia="方正仿宋_GB2312" w:cs="方正仿宋_GB2312"/>
          <w:b/>
          <w:sz w:val="21"/>
          <w:szCs w:val="21"/>
          <w:shd w:val="clear" w:color="auto" w:fill="FFFFFF"/>
          <w:lang w:val="en-US" w:eastAsia="zh-CN"/>
        </w:rPr>
        <w:t>附件2：</w:t>
      </w:r>
    </w:p>
    <w:p>
      <w:pPr>
        <w:widowControl/>
        <w:jc w:val="center"/>
        <w:rPr>
          <w:rFonts w:hint="eastAsia" w:ascii="方正公文小标宋" w:hAnsi="方正公文小标宋" w:eastAsia="方正公文小标宋" w:cs="方正公文小标宋"/>
          <w:sz w:val="32"/>
          <w:szCs w:val="32"/>
          <w:lang w:val="en-US"/>
        </w:rPr>
      </w:pPr>
      <w:r>
        <w:rPr>
          <w:rFonts w:hint="eastAsia" w:ascii="方正公文小标宋" w:hAnsi="方正公文小标宋" w:eastAsia="方正公文小标宋" w:cs="方正公文小标宋"/>
          <w:b/>
          <w:sz w:val="32"/>
          <w:szCs w:val="32"/>
          <w:shd w:val="clear" w:color="auto" w:fill="FFFFFF"/>
        </w:rPr>
        <w:t>广西物流职业技术学院</w:t>
      </w:r>
      <w:r>
        <w:rPr>
          <w:rFonts w:hint="eastAsia" w:ascii="方正公文小标宋" w:hAnsi="方正公文小标宋" w:eastAsia="方正公文小标宋" w:cs="方正公文小标宋"/>
          <w:b/>
          <w:sz w:val="32"/>
          <w:szCs w:val="32"/>
          <w:shd w:val="clear" w:color="auto" w:fill="FFFFFF"/>
          <w:lang w:val="en-US" w:eastAsia="zh-CN"/>
        </w:rPr>
        <w:t>2023年教学成果奖重点培育项目专家团队项目</w:t>
      </w:r>
      <w:r>
        <w:rPr>
          <w:rFonts w:hint="eastAsia" w:ascii="方正公文小标宋" w:hAnsi="方正公文小标宋" w:eastAsia="方正公文小标宋" w:cs="方正公文小标宋"/>
          <w:sz w:val="32"/>
          <w:szCs w:val="32"/>
        </w:rPr>
        <w:t>评审</w:t>
      </w:r>
      <w:r>
        <w:rPr>
          <w:rFonts w:hint="eastAsia" w:ascii="方正公文小标宋" w:hAnsi="方正公文小标宋" w:eastAsia="方正公文小标宋" w:cs="方正公文小标宋"/>
          <w:sz w:val="32"/>
          <w:szCs w:val="32"/>
          <w:lang w:val="en-US" w:eastAsia="zh-CN"/>
        </w:rPr>
        <w:t>办法</w:t>
      </w:r>
      <w:bookmarkStart w:id="1" w:name="_GoBack"/>
      <w:bookmarkEnd w:id="1"/>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8"/>
        <w:gridCol w:w="1311"/>
        <w:gridCol w:w="5730"/>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998" w:type="dxa"/>
            <w:noWrap w:val="0"/>
            <w:vAlign w:val="top"/>
          </w:tcPr>
          <w:p>
            <w:pPr>
              <w:pStyle w:val="7"/>
              <w:keepNext w:val="0"/>
              <w:keepLines w:val="0"/>
              <w:suppressLineNumbers w:val="0"/>
              <w:spacing w:before="73" w:beforeAutospacing="0" w:after="0" w:afterAutospacing="0"/>
              <w:ind w:left="265" w:right="260"/>
              <w:jc w:val="center"/>
              <w:rPr>
                <w:rFonts w:hint="default"/>
                <w:b/>
                <w:sz w:val="21"/>
              </w:rPr>
            </w:pPr>
            <w:r>
              <w:rPr>
                <w:rFonts w:hint="default"/>
                <w:b/>
                <w:sz w:val="21"/>
              </w:rPr>
              <w:t>序号</w:t>
            </w:r>
          </w:p>
        </w:tc>
        <w:tc>
          <w:tcPr>
            <w:tcW w:w="1311" w:type="dxa"/>
            <w:noWrap w:val="0"/>
            <w:vAlign w:val="top"/>
          </w:tcPr>
          <w:p>
            <w:pPr>
              <w:pStyle w:val="7"/>
              <w:keepNext w:val="0"/>
              <w:keepLines w:val="0"/>
              <w:suppressLineNumbers w:val="0"/>
              <w:spacing w:before="73" w:beforeAutospacing="0" w:after="0" w:afterAutospacing="0"/>
              <w:ind w:left="213" w:right="203"/>
              <w:jc w:val="center"/>
              <w:rPr>
                <w:rFonts w:hint="default"/>
                <w:b/>
                <w:sz w:val="21"/>
              </w:rPr>
            </w:pPr>
            <w:r>
              <w:rPr>
                <w:rFonts w:hint="default"/>
                <w:b/>
                <w:sz w:val="21"/>
              </w:rPr>
              <w:t>评审因素</w:t>
            </w:r>
          </w:p>
        </w:tc>
        <w:tc>
          <w:tcPr>
            <w:tcW w:w="5730" w:type="dxa"/>
            <w:noWrap w:val="0"/>
            <w:vAlign w:val="top"/>
          </w:tcPr>
          <w:p>
            <w:pPr>
              <w:pStyle w:val="7"/>
              <w:keepNext w:val="0"/>
              <w:keepLines w:val="0"/>
              <w:suppressLineNumbers w:val="0"/>
              <w:spacing w:before="73" w:beforeAutospacing="0" w:after="0" w:afterAutospacing="0"/>
              <w:ind w:left="467" w:right="461"/>
              <w:jc w:val="center"/>
              <w:rPr>
                <w:rFonts w:hint="default"/>
                <w:b/>
                <w:sz w:val="21"/>
              </w:rPr>
            </w:pPr>
            <w:r>
              <w:rPr>
                <w:rFonts w:hint="default"/>
                <w:b/>
                <w:sz w:val="21"/>
              </w:rPr>
              <w:t>评分标准</w:t>
            </w:r>
          </w:p>
        </w:tc>
        <w:tc>
          <w:tcPr>
            <w:tcW w:w="1309" w:type="dxa"/>
            <w:noWrap w:val="0"/>
            <w:vAlign w:val="top"/>
          </w:tcPr>
          <w:p>
            <w:pPr>
              <w:pStyle w:val="7"/>
              <w:keepNext w:val="0"/>
              <w:keepLines w:val="0"/>
              <w:suppressLineNumbers w:val="0"/>
              <w:spacing w:before="73" w:beforeAutospacing="0" w:after="0" w:afterAutospacing="0"/>
              <w:ind w:left="108" w:right="100"/>
              <w:jc w:val="center"/>
              <w:rPr>
                <w:rFonts w:hint="default"/>
                <w:b/>
                <w:sz w:val="21"/>
              </w:rPr>
            </w:pPr>
            <w:r>
              <w:rPr>
                <w:rFonts w:hint="default"/>
                <w:b/>
                <w:sz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8" w:hRule="atLeast"/>
          <w:jc w:val="center"/>
        </w:trPr>
        <w:tc>
          <w:tcPr>
            <w:tcW w:w="998" w:type="dxa"/>
            <w:noWrap w:val="0"/>
            <w:vAlign w:val="center"/>
          </w:tcPr>
          <w:p>
            <w:pPr>
              <w:pStyle w:val="7"/>
              <w:keepNext w:val="0"/>
              <w:keepLines w:val="0"/>
              <w:suppressLineNumbers w:val="0"/>
              <w:spacing w:before="163" w:beforeAutospacing="0" w:after="0" w:afterAutospacing="0"/>
              <w:ind w:left="0" w:right="0"/>
              <w:jc w:val="center"/>
              <w:rPr>
                <w:rFonts w:hint="default"/>
                <w:sz w:val="21"/>
              </w:rPr>
            </w:pPr>
            <w:r>
              <w:rPr>
                <w:rFonts w:hint="default"/>
                <w:w w:val="99"/>
                <w:sz w:val="21"/>
              </w:rPr>
              <w:t>1</w:t>
            </w:r>
          </w:p>
        </w:tc>
        <w:tc>
          <w:tcPr>
            <w:tcW w:w="1311" w:type="dxa"/>
            <w:noWrap w:val="0"/>
            <w:vAlign w:val="center"/>
          </w:tcPr>
          <w:p>
            <w:pPr>
              <w:pStyle w:val="7"/>
              <w:keepNext w:val="0"/>
              <w:keepLines w:val="0"/>
              <w:suppressLineNumbers w:val="0"/>
              <w:spacing w:before="163" w:beforeAutospacing="0" w:after="0" w:afterAutospacing="0"/>
              <w:ind w:left="0" w:right="203"/>
              <w:jc w:val="center"/>
              <w:rPr>
                <w:rFonts w:hint="default"/>
                <w:sz w:val="21"/>
              </w:rPr>
            </w:pPr>
            <w:r>
              <w:rPr>
                <w:rFonts w:hint="default"/>
                <w:sz w:val="21"/>
              </w:rPr>
              <w:t>报价</w:t>
            </w:r>
          </w:p>
        </w:tc>
        <w:tc>
          <w:tcPr>
            <w:tcW w:w="5730" w:type="dxa"/>
            <w:noWrap w:val="0"/>
            <w:vAlign w:val="top"/>
          </w:tcPr>
          <w:p>
            <w:pPr>
              <w:pStyle w:val="7"/>
              <w:keepNext w:val="0"/>
              <w:keepLines w:val="0"/>
              <w:suppressLineNumbers w:val="0"/>
              <w:spacing w:before="122" w:beforeAutospacing="0" w:after="0" w:afterAutospacing="0" w:line="328" w:lineRule="auto"/>
              <w:ind w:left="0" w:right="98" w:firstLine="440" w:firstLineChars="200"/>
              <w:jc w:val="both"/>
              <w:rPr>
                <w:rFonts w:hint="default"/>
                <w:b/>
                <w:sz w:val="24"/>
              </w:rPr>
            </w:pPr>
            <w:bookmarkStart w:id="0" w:name="报价分（满分20分）"/>
            <w:bookmarkEnd w:id="0"/>
            <w:r>
              <w:rPr>
                <w:rFonts w:hint="eastAsia" w:ascii="宋体" w:hAnsi="Courier New" w:eastAsia="宋体" w:cs="宋体"/>
                <w:sz w:val="22"/>
                <w:szCs w:val="20"/>
                <w:lang w:val="en-US" w:eastAsia="zh-CN" w:bidi="zh-CN"/>
              </w:rPr>
              <w:t>（1）</w:t>
            </w:r>
            <w:r>
              <w:rPr>
                <w:rFonts w:hint="default" w:ascii="宋体" w:hAnsi="Courier New" w:eastAsia="宋体" w:cs="宋体"/>
                <w:sz w:val="22"/>
                <w:szCs w:val="20"/>
                <w:lang w:val="zh-CN" w:eastAsia="zh-CN" w:bidi="zh-CN"/>
              </w:rPr>
              <w:t>本项目是专门面向中小企业采购，按政府采购政策规定，专门面向中小企业采购时，小微企业不再享受政府采购政策价格扣除</w:t>
            </w:r>
            <w:r>
              <w:rPr>
                <w:rFonts w:hint="eastAsia" w:ascii="宋体" w:hAnsi="Courier New" w:eastAsia="宋体" w:cs="宋体"/>
                <w:sz w:val="22"/>
                <w:szCs w:val="20"/>
                <w:lang w:val="en-US" w:eastAsia="zh-CN" w:bidi="zh-CN"/>
              </w:rPr>
              <w:t>优惠</w:t>
            </w:r>
            <w:r>
              <w:rPr>
                <w:rFonts w:hint="default" w:ascii="宋体" w:hAnsi="Courier New" w:eastAsia="宋体" w:cs="宋体"/>
                <w:sz w:val="22"/>
                <w:szCs w:val="20"/>
                <w:lang w:val="zh-CN" w:eastAsia="zh-CN" w:bidi="zh-CN"/>
              </w:rPr>
              <w:t>。</w:t>
            </w:r>
          </w:p>
          <w:p>
            <w:pPr>
              <w:pStyle w:val="4"/>
              <w:keepNext w:val="0"/>
              <w:keepLines w:val="0"/>
              <w:suppressLineNumbers w:val="0"/>
              <w:bidi w:val="0"/>
              <w:spacing w:before="0" w:beforeAutospacing="0" w:after="0" w:afterAutospacing="0"/>
              <w:ind w:left="0" w:right="0" w:firstLine="420" w:firstLineChars="200"/>
              <w:rPr>
                <w:rFonts w:hint="default"/>
              </w:rPr>
            </w:pPr>
            <w:r>
              <w:rPr>
                <w:rFonts w:hint="eastAsia"/>
              </w:rPr>
              <w:t>（2）评标报价=</w:t>
            </w:r>
            <w:r>
              <w:rPr>
                <w:rFonts w:hint="eastAsia"/>
                <w:lang w:val="en-US" w:eastAsia="zh-CN"/>
              </w:rPr>
              <w:t>竞</w:t>
            </w:r>
            <w:r>
              <w:rPr>
                <w:rFonts w:hint="eastAsia"/>
              </w:rPr>
              <w:t>标报价，评标报价只是作为评标时使用。最终的成交金额等于</w:t>
            </w:r>
            <w:r>
              <w:rPr>
                <w:rFonts w:hint="eastAsia"/>
                <w:lang w:val="en-US" w:eastAsia="zh-CN"/>
              </w:rPr>
              <w:t>竞</w:t>
            </w:r>
            <w:r>
              <w:rPr>
                <w:rFonts w:hint="eastAsia"/>
              </w:rPr>
              <w:t>标报价。</w:t>
            </w:r>
          </w:p>
          <w:p>
            <w:pPr>
              <w:pStyle w:val="4"/>
              <w:keepNext w:val="0"/>
              <w:keepLines w:val="0"/>
              <w:suppressLineNumbers w:val="0"/>
              <w:bidi w:val="0"/>
              <w:spacing w:before="0" w:beforeAutospacing="0" w:after="0" w:afterAutospacing="0"/>
              <w:ind w:left="0" w:right="0" w:firstLine="420" w:firstLineChars="200"/>
              <w:rPr>
                <w:rFonts w:hint="default"/>
              </w:rPr>
            </w:pPr>
            <w:r>
              <w:rPr>
                <w:rFonts w:hint="eastAsia"/>
              </w:rPr>
              <w:t>（3）满足采购文件要求且评标报价最低的评标报价为评标基准价，其价格分为满分。</w:t>
            </w:r>
            <w:r>
              <w:rPr>
                <w:rFonts w:hint="default"/>
              </w:rPr>
              <w:t>其他供应商的价格分统一按照下列公式计算：</w:t>
            </w:r>
          </w:p>
          <w:p>
            <w:pPr>
              <w:pStyle w:val="4"/>
              <w:keepNext w:val="0"/>
              <w:keepLines w:val="0"/>
              <w:suppressLineNumbers w:val="0"/>
              <w:bidi w:val="0"/>
              <w:spacing w:before="0" w:beforeAutospacing="0" w:after="0" w:afterAutospacing="0"/>
              <w:ind w:left="0" w:right="0" w:firstLine="420" w:firstLineChars="200"/>
              <w:rPr>
                <w:rFonts w:hint="default"/>
              </w:rPr>
            </w:pPr>
            <w:r>
              <w:rPr>
                <w:rFonts w:hint="default"/>
              </w:rPr>
              <w:t>某供应商的报价得分=供应商最低评标价／某供应商评标价）</w:t>
            </w:r>
            <w:r>
              <w:rPr>
                <w:rFonts w:hint="default"/>
                <w:sz w:val="28"/>
                <w:szCs w:val="28"/>
              </w:rPr>
              <w:t>×</w:t>
            </w:r>
            <w:r>
              <w:rPr>
                <w:rFonts w:hint="eastAsia"/>
                <w:lang w:val="en-US" w:eastAsia="zh-CN"/>
              </w:rPr>
              <w:t>1</w:t>
            </w:r>
            <w:r>
              <w:rPr>
                <w:rFonts w:hint="default"/>
              </w:rPr>
              <w:t>0 分</w:t>
            </w:r>
          </w:p>
          <w:p>
            <w:pPr>
              <w:keepNext w:val="0"/>
              <w:keepLines w:val="0"/>
              <w:suppressLineNumbers w:val="0"/>
              <w:spacing w:before="0" w:beforeAutospacing="0" w:after="0" w:afterAutospacing="0"/>
              <w:ind w:left="0" w:right="0"/>
              <w:rPr>
                <w:rFonts w:hint="default"/>
              </w:rPr>
            </w:pPr>
          </w:p>
          <w:p>
            <w:pPr>
              <w:pStyle w:val="4"/>
              <w:keepNext w:val="0"/>
              <w:keepLines w:val="0"/>
              <w:suppressLineNumbers w:val="0"/>
              <w:bidi w:val="0"/>
              <w:spacing w:before="0" w:beforeAutospacing="0" w:after="0" w:afterAutospacing="0"/>
              <w:ind w:left="0" w:right="0" w:firstLine="422" w:firstLineChars="200"/>
              <w:rPr>
                <w:rFonts w:hint="default"/>
                <w:b/>
              </w:rPr>
            </w:pPr>
            <w:r>
              <w:rPr>
                <w:rFonts w:hint="default"/>
                <w:b/>
                <w:bCs/>
              </w:rPr>
              <w:t>磋商小组认为供应商的报价明显低于其他通过符合性审查供应商的报价</w:t>
            </w:r>
            <w:r>
              <w:rPr>
                <w:rFonts w:hint="eastAsia"/>
                <w:b/>
                <w:bCs/>
                <w:lang w:val="en-US" w:eastAsia="zh-CN"/>
              </w:rPr>
              <w:t>或采购预算</w:t>
            </w:r>
            <w:r>
              <w:rPr>
                <w:rFonts w:hint="default"/>
                <w:b/>
                <w:bCs/>
              </w:rPr>
              <w:t>，有可能影响产品质量或者不能诚信履约的， 应当要求其在评标现场合理的时间内提供书面说明，必要时提交相关证明材料；供应商不能证明其报价合理性的，磋商小组应当将其作为无效投标处理。</w:t>
            </w:r>
          </w:p>
        </w:tc>
        <w:tc>
          <w:tcPr>
            <w:tcW w:w="1309" w:type="dxa"/>
            <w:noWrap w:val="0"/>
            <w:vAlign w:val="center"/>
          </w:tcPr>
          <w:p>
            <w:pPr>
              <w:pStyle w:val="7"/>
              <w:keepNext w:val="0"/>
              <w:keepLines w:val="0"/>
              <w:suppressLineNumbers w:val="0"/>
              <w:spacing w:before="163" w:beforeAutospacing="0" w:after="0" w:afterAutospacing="0"/>
              <w:ind w:left="0" w:right="100"/>
              <w:jc w:val="center"/>
              <w:rPr>
                <w:rFonts w:hint="default"/>
                <w:sz w:val="21"/>
              </w:rPr>
            </w:pPr>
            <w:r>
              <w:rPr>
                <w:rFonts w:hint="default"/>
                <w:sz w:val="21"/>
              </w:rPr>
              <w:t xml:space="preserve">满分 </w:t>
            </w:r>
            <w:r>
              <w:rPr>
                <w:rFonts w:hint="eastAsia"/>
                <w:sz w:val="21"/>
                <w:lang w:val="en-US" w:eastAsia="zh-CN"/>
              </w:rPr>
              <w:t>1</w:t>
            </w:r>
            <w:r>
              <w:rPr>
                <w:rFonts w:hint="default"/>
                <w:sz w:val="21"/>
              </w:rPr>
              <w:t>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2" w:hRule="atLeast"/>
          <w:jc w:val="center"/>
        </w:trPr>
        <w:tc>
          <w:tcPr>
            <w:tcW w:w="998" w:type="dxa"/>
            <w:noWrap w:val="0"/>
            <w:vAlign w:val="center"/>
          </w:tcPr>
          <w:p>
            <w:pPr>
              <w:pStyle w:val="7"/>
              <w:keepNext w:val="0"/>
              <w:keepLines w:val="0"/>
              <w:suppressLineNumbers w:val="0"/>
              <w:spacing w:before="0" w:beforeAutospacing="0" w:after="0" w:afterAutospacing="0"/>
              <w:ind w:left="0" w:right="0"/>
              <w:jc w:val="center"/>
              <w:rPr>
                <w:rFonts w:hint="default"/>
                <w:sz w:val="20"/>
              </w:rPr>
            </w:pPr>
          </w:p>
          <w:p>
            <w:pPr>
              <w:pStyle w:val="7"/>
              <w:keepNext w:val="0"/>
              <w:keepLines w:val="0"/>
              <w:suppressLineNumbers w:val="0"/>
              <w:spacing w:before="0" w:beforeAutospacing="0" w:after="0" w:afterAutospacing="0"/>
              <w:ind w:left="0" w:right="0"/>
              <w:jc w:val="center"/>
              <w:rPr>
                <w:rFonts w:hint="default"/>
                <w:sz w:val="20"/>
              </w:rPr>
            </w:pPr>
          </w:p>
          <w:p>
            <w:pPr>
              <w:pStyle w:val="7"/>
              <w:keepNext w:val="0"/>
              <w:keepLines w:val="0"/>
              <w:suppressLineNumbers w:val="0"/>
              <w:spacing w:before="152" w:beforeAutospacing="0" w:after="0" w:afterAutospacing="0"/>
              <w:ind w:left="6" w:right="0"/>
              <w:jc w:val="center"/>
              <w:rPr>
                <w:rFonts w:hint="default"/>
                <w:sz w:val="21"/>
              </w:rPr>
            </w:pPr>
            <w:r>
              <w:rPr>
                <w:rFonts w:hint="default"/>
                <w:w w:val="99"/>
                <w:sz w:val="21"/>
              </w:rPr>
              <w:t>2</w:t>
            </w:r>
          </w:p>
        </w:tc>
        <w:tc>
          <w:tcPr>
            <w:tcW w:w="1311" w:type="dxa"/>
            <w:noWrap w:val="0"/>
            <w:vAlign w:val="center"/>
          </w:tcPr>
          <w:p>
            <w:pPr>
              <w:pStyle w:val="7"/>
              <w:keepNext w:val="0"/>
              <w:keepLines w:val="0"/>
              <w:suppressLineNumbers w:val="0"/>
              <w:spacing w:before="0" w:beforeAutospacing="0" w:after="0" w:afterAutospacing="0"/>
              <w:ind w:left="0" w:right="0"/>
              <w:jc w:val="center"/>
              <w:rPr>
                <w:rFonts w:hint="default"/>
                <w:sz w:val="20"/>
              </w:rPr>
            </w:pPr>
          </w:p>
          <w:p>
            <w:pPr>
              <w:pStyle w:val="7"/>
              <w:keepNext w:val="0"/>
              <w:keepLines w:val="0"/>
              <w:suppressLineNumbers w:val="0"/>
              <w:spacing w:before="0" w:beforeAutospacing="0" w:after="0" w:afterAutospacing="0"/>
              <w:ind w:left="0" w:right="0"/>
              <w:jc w:val="center"/>
              <w:rPr>
                <w:rFonts w:hint="default"/>
                <w:sz w:val="20"/>
              </w:rPr>
            </w:pPr>
          </w:p>
          <w:p>
            <w:pPr>
              <w:pStyle w:val="7"/>
              <w:keepNext w:val="0"/>
              <w:keepLines w:val="0"/>
              <w:suppressLineNumbers w:val="0"/>
              <w:spacing w:before="0" w:beforeAutospacing="0" w:after="0" w:afterAutospacing="0"/>
              <w:ind w:left="0" w:right="0"/>
              <w:jc w:val="center"/>
              <w:rPr>
                <w:rFonts w:hint="default"/>
                <w:sz w:val="20"/>
              </w:rPr>
            </w:pPr>
          </w:p>
          <w:p>
            <w:pPr>
              <w:pStyle w:val="7"/>
              <w:keepNext w:val="0"/>
              <w:keepLines w:val="0"/>
              <w:suppressLineNumbers w:val="0"/>
              <w:spacing w:before="0" w:beforeAutospacing="0" w:after="0" w:afterAutospacing="0"/>
              <w:ind w:left="0" w:right="0"/>
              <w:jc w:val="center"/>
              <w:rPr>
                <w:rFonts w:hint="default"/>
                <w:sz w:val="20"/>
              </w:rPr>
            </w:pPr>
          </w:p>
          <w:p>
            <w:pPr>
              <w:pStyle w:val="7"/>
              <w:keepNext w:val="0"/>
              <w:keepLines w:val="0"/>
              <w:suppressLineNumbers w:val="0"/>
              <w:spacing w:before="2" w:beforeAutospacing="0" w:after="0" w:afterAutospacing="0"/>
              <w:ind w:left="0" w:right="0"/>
              <w:jc w:val="center"/>
              <w:rPr>
                <w:rFonts w:hint="default"/>
                <w:sz w:val="15"/>
              </w:rPr>
            </w:pPr>
          </w:p>
          <w:p>
            <w:pPr>
              <w:pStyle w:val="7"/>
              <w:keepNext w:val="0"/>
              <w:keepLines w:val="0"/>
              <w:suppressLineNumbers w:val="0"/>
              <w:spacing w:before="0" w:beforeAutospacing="0" w:after="0" w:afterAutospacing="0" w:line="367" w:lineRule="auto"/>
              <w:ind w:left="445" w:right="121" w:hanging="317"/>
              <w:jc w:val="center"/>
              <w:rPr>
                <w:rFonts w:hint="default"/>
                <w:sz w:val="21"/>
              </w:rPr>
            </w:pPr>
            <w:r>
              <w:rPr>
                <w:rFonts w:hint="eastAsia"/>
                <w:sz w:val="21"/>
              </w:rPr>
              <w:t>培训工作实施方案</w:t>
            </w:r>
          </w:p>
        </w:tc>
        <w:tc>
          <w:tcPr>
            <w:tcW w:w="5730" w:type="dxa"/>
            <w:noWrap w:val="0"/>
            <w:vAlign w:val="top"/>
          </w:tcPr>
          <w:p>
            <w:pPr>
              <w:pStyle w:val="7"/>
              <w:keepNext w:val="0"/>
              <w:keepLines w:val="0"/>
              <w:suppressLineNumbers w:val="0"/>
              <w:spacing w:before="0" w:beforeAutospacing="0" w:after="0" w:afterAutospacing="0" w:line="360" w:lineRule="auto"/>
              <w:ind w:left="106" w:right="0"/>
              <w:rPr>
                <w:rFonts w:hint="eastAsia"/>
                <w:sz w:val="21"/>
              </w:rPr>
            </w:pPr>
            <w:r>
              <w:rPr>
                <w:rFonts w:hint="eastAsia"/>
                <w:sz w:val="21"/>
              </w:rPr>
              <w:t>一档（</w:t>
            </w:r>
            <w:r>
              <w:rPr>
                <w:rFonts w:hint="eastAsia"/>
                <w:sz w:val="21"/>
                <w:lang w:val="en-US" w:eastAsia="zh-CN"/>
              </w:rPr>
              <w:t>5</w:t>
            </w:r>
            <w:r>
              <w:rPr>
                <w:rFonts w:hint="eastAsia"/>
                <w:sz w:val="21"/>
              </w:rPr>
              <w:t>分）：整体方案内容</w:t>
            </w:r>
            <w:r>
              <w:rPr>
                <w:rFonts w:hint="eastAsia"/>
                <w:sz w:val="21"/>
                <w:lang w:val="en-US" w:eastAsia="zh-CN"/>
              </w:rPr>
              <w:t>简单，有缺漏</w:t>
            </w:r>
            <w:r>
              <w:rPr>
                <w:rFonts w:hint="eastAsia"/>
                <w:sz w:val="21"/>
              </w:rPr>
              <w:t>，勉强能围绕</w:t>
            </w:r>
            <w:r>
              <w:rPr>
                <w:rFonts w:hint="eastAsia"/>
                <w:sz w:val="21"/>
                <w:lang w:val="en-US" w:eastAsia="zh-CN"/>
              </w:rPr>
              <w:t>教学成果奖</w:t>
            </w:r>
            <w:r>
              <w:rPr>
                <w:rFonts w:hint="eastAsia"/>
                <w:sz w:val="21"/>
              </w:rPr>
              <w:t>专项内容进行一定的描述；</w:t>
            </w:r>
          </w:p>
          <w:p>
            <w:pPr>
              <w:pStyle w:val="7"/>
              <w:keepNext w:val="0"/>
              <w:keepLines w:val="0"/>
              <w:suppressLineNumbers w:val="0"/>
              <w:spacing w:before="0" w:beforeAutospacing="0" w:after="0" w:afterAutospacing="0" w:line="360" w:lineRule="auto"/>
              <w:ind w:left="106" w:right="0"/>
              <w:rPr>
                <w:rFonts w:hint="eastAsia"/>
                <w:sz w:val="21"/>
              </w:rPr>
            </w:pPr>
            <w:r>
              <w:rPr>
                <w:rFonts w:hint="eastAsia"/>
                <w:sz w:val="21"/>
              </w:rPr>
              <w:t>二档（</w:t>
            </w:r>
            <w:r>
              <w:rPr>
                <w:rFonts w:hint="eastAsia"/>
                <w:sz w:val="21"/>
                <w:lang w:val="en-US" w:eastAsia="zh-CN"/>
              </w:rPr>
              <w:t>10</w:t>
            </w:r>
            <w:r>
              <w:rPr>
                <w:rFonts w:hint="eastAsia"/>
                <w:sz w:val="21"/>
              </w:rPr>
              <w:t>分）：整体方案内容勉强能围绕</w:t>
            </w:r>
            <w:r>
              <w:rPr>
                <w:rFonts w:hint="eastAsia"/>
                <w:sz w:val="21"/>
                <w:lang w:val="en-US" w:eastAsia="zh-CN"/>
              </w:rPr>
              <w:t>教学成果奖</w:t>
            </w:r>
            <w:r>
              <w:rPr>
                <w:rFonts w:hint="eastAsia"/>
                <w:sz w:val="21"/>
              </w:rPr>
              <w:t>、教科研申报、三教改革等专项内容进行一定的描述；在培训的组织方面配备有相关资源，但培训人员经验不足、专业素质一般（以提供的相关工作证明或者人员资质证明资料为准）；</w:t>
            </w:r>
          </w:p>
          <w:p>
            <w:pPr>
              <w:pStyle w:val="7"/>
              <w:keepNext w:val="0"/>
              <w:keepLines w:val="0"/>
              <w:suppressLineNumbers w:val="0"/>
              <w:spacing w:before="0" w:beforeAutospacing="0" w:after="0" w:afterAutospacing="0" w:line="360" w:lineRule="auto"/>
              <w:ind w:left="106" w:right="0"/>
              <w:rPr>
                <w:rFonts w:hint="eastAsia"/>
                <w:sz w:val="21"/>
              </w:rPr>
            </w:pPr>
            <w:r>
              <w:rPr>
                <w:rFonts w:hint="eastAsia"/>
                <w:sz w:val="21"/>
              </w:rPr>
              <w:t>三档（1</w:t>
            </w:r>
            <w:r>
              <w:rPr>
                <w:rFonts w:hint="eastAsia"/>
                <w:sz w:val="21"/>
                <w:lang w:val="en-US" w:eastAsia="zh-CN"/>
              </w:rPr>
              <w:t>7</w:t>
            </w:r>
            <w:r>
              <w:rPr>
                <w:rFonts w:hint="eastAsia"/>
                <w:sz w:val="21"/>
              </w:rPr>
              <w:t>分）：整体方案内容具体，基本能满足</w:t>
            </w:r>
            <w:r>
              <w:rPr>
                <w:rFonts w:hint="eastAsia"/>
                <w:sz w:val="21"/>
                <w:lang w:val="en-US" w:eastAsia="zh-CN"/>
              </w:rPr>
              <w:t>教学成果奖</w:t>
            </w:r>
            <w:r>
              <w:rPr>
                <w:rFonts w:hint="eastAsia"/>
                <w:sz w:val="21"/>
              </w:rPr>
              <w:t>、教科研申报、三教改革等专项内容进行较完整的描述；方案中提供有较好的培训计划和培训模式等；在培训的组织方面配备有相关资源，基本满足采购人要求，培训人员经验丰富、专业素质强（以提供的相关工作证明或者人员资质证明资料为准）；</w:t>
            </w:r>
          </w:p>
          <w:p>
            <w:pPr>
              <w:pStyle w:val="7"/>
              <w:keepNext w:val="0"/>
              <w:keepLines w:val="0"/>
              <w:suppressLineNumbers w:val="0"/>
              <w:spacing w:before="0" w:beforeAutospacing="0" w:after="0" w:afterAutospacing="0" w:line="360" w:lineRule="auto"/>
              <w:ind w:left="106" w:right="0"/>
              <w:rPr>
                <w:rFonts w:hint="default"/>
                <w:sz w:val="21"/>
              </w:rPr>
            </w:pPr>
            <w:r>
              <w:rPr>
                <w:rFonts w:hint="eastAsia"/>
                <w:sz w:val="21"/>
              </w:rPr>
              <w:t>四档（</w:t>
            </w:r>
            <w:r>
              <w:rPr>
                <w:rFonts w:hint="eastAsia"/>
                <w:sz w:val="21"/>
                <w:lang w:val="en-US" w:eastAsia="zh-CN"/>
              </w:rPr>
              <w:t>25</w:t>
            </w:r>
            <w:r>
              <w:rPr>
                <w:rFonts w:hint="eastAsia"/>
                <w:sz w:val="21"/>
              </w:rPr>
              <w:t>分）：整体方案内容更加全面细致、针对性更强，完全能满足</w:t>
            </w:r>
            <w:r>
              <w:rPr>
                <w:rFonts w:hint="eastAsia"/>
                <w:sz w:val="21"/>
                <w:lang w:val="en-US" w:eastAsia="zh-CN"/>
              </w:rPr>
              <w:t>教学成果奖</w:t>
            </w:r>
            <w:r>
              <w:rPr>
                <w:rFonts w:hint="eastAsia"/>
                <w:sz w:val="21"/>
              </w:rPr>
              <w:t>、教科研申报、三教改革等专项内容进行细致完整的分项描述；方案中提供有优秀的培训计划和科学的培训模式等；在培训的组织方面配备有更优异的相关资源，完全满足采购人要求，培训人员经验丰富、专业素质更强（以提供的相关工作证明或者人员资质证明资料为准），培训模式更科学合理，整体培训规划性强、可操作性强。。</w:t>
            </w:r>
          </w:p>
        </w:tc>
        <w:tc>
          <w:tcPr>
            <w:tcW w:w="1309" w:type="dxa"/>
            <w:noWrap w:val="0"/>
            <w:vAlign w:val="center"/>
          </w:tcPr>
          <w:p>
            <w:pPr>
              <w:pStyle w:val="7"/>
              <w:keepNext w:val="0"/>
              <w:keepLines w:val="0"/>
              <w:suppressLineNumbers w:val="0"/>
              <w:spacing w:before="0" w:beforeAutospacing="0" w:after="0" w:afterAutospacing="0"/>
              <w:ind w:left="0" w:right="0"/>
              <w:jc w:val="center"/>
              <w:rPr>
                <w:rFonts w:hint="default"/>
                <w:sz w:val="20"/>
              </w:rPr>
            </w:pPr>
          </w:p>
          <w:p>
            <w:pPr>
              <w:pStyle w:val="7"/>
              <w:keepNext w:val="0"/>
              <w:keepLines w:val="0"/>
              <w:suppressLineNumbers w:val="0"/>
              <w:spacing w:before="0" w:beforeAutospacing="0" w:after="0" w:afterAutospacing="0"/>
              <w:ind w:left="0" w:right="0"/>
              <w:jc w:val="center"/>
              <w:rPr>
                <w:rFonts w:hint="default"/>
                <w:sz w:val="20"/>
              </w:rPr>
            </w:pPr>
          </w:p>
          <w:p>
            <w:pPr>
              <w:pStyle w:val="7"/>
              <w:keepNext w:val="0"/>
              <w:keepLines w:val="0"/>
              <w:suppressLineNumbers w:val="0"/>
              <w:spacing w:before="0" w:beforeAutospacing="0" w:after="0" w:afterAutospacing="0"/>
              <w:ind w:left="0" w:right="0"/>
              <w:jc w:val="center"/>
              <w:rPr>
                <w:rFonts w:hint="default"/>
                <w:sz w:val="20"/>
              </w:rPr>
            </w:pPr>
          </w:p>
          <w:p>
            <w:pPr>
              <w:pStyle w:val="7"/>
              <w:keepNext w:val="0"/>
              <w:keepLines w:val="0"/>
              <w:suppressLineNumbers w:val="0"/>
              <w:spacing w:before="0" w:beforeAutospacing="0" w:after="0" w:afterAutospacing="0"/>
              <w:ind w:left="0" w:right="0"/>
              <w:jc w:val="center"/>
              <w:rPr>
                <w:rFonts w:hint="default"/>
                <w:sz w:val="20"/>
              </w:rPr>
            </w:pPr>
          </w:p>
          <w:p>
            <w:pPr>
              <w:pStyle w:val="7"/>
              <w:keepNext w:val="0"/>
              <w:keepLines w:val="0"/>
              <w:suppressLineNumbers w:val="0"/>
              <w:spacing w:before="9" w:beforeAutospacing="0" w:after="0" w:afterAutospacing="0"/>
              <w:ind w:left="0" w:right="0"/>
              <w:jc w:val="center"/>
              <w:rPr>
                <w:rFonts w:hint="default"/>
                <w:sz w:val="21"/>
              </w:rPr>
            </w:pPr>
          </w:p>
          <w:p>
            <w:pPr>
              <w:pStyle w:val="7"/>
              <w:keepNext w:val="0"/>
              <w:keepLines w:val="0"/>
              <w:suppressLineNumbers w:val="0"/>
              <w:spacing w:before="0" w:beforeAutospacing="0" w:after="0" w:afterAutospacing="0"/>
              <w:ind w:left="108" w:right="100"/>
              <w:jc w:val="center"/>
              <w:rPr>
                <w:rFonts w:hint="default"/>
                <w:sz w:val="21"/>
              </w:rPr>
            </w:pPr>
            <w:r>
              <w:rPr>
                <w:rFonts w:hint="default"/>
                <w:sz w:val="21"/>
              </w:rPr>
              <w:t>满分</w:t>
            </w:r>
            <w:r>
              <w:rPr>
                <w:rFonts w:hint="eastAsia"/>
                <w:sz w:val="21"/>
                <w:lang w:val="en-US" w:eastAsia="zh-CN"/>
              </w:rPr>
              <w:t>25</w:t>
            </w:r>
            <w:r>
              <w:rPr>
                <w:rFonts w:hint="default"/>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1" w:hRule="atLeast"/>
          <w:jc w:val="center"/>
        </w:trPr>
        <w:tc>
          <w:tcPr>
            <w:tcW w:w="998" w:type="dxa"/>
            <w:noWrap w:val="0"/>
            <w:vAlign w:val="top"/>
          </w:tcPr>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0" w:beforeAutospacing="0" w:after="0" w:afterAutospacing="0"/>
              <w:ind w:left="0" w:right="0"/>
              <w:rPr>
                <w:rFonts w:hint="default"/>
                <w:sz w:val="29"/>
              </w:rPr>
            </w:pPr>
          </w:p>
          <w:p>
            <w:pPr>
              <w:pStyle w:val="7"/>
              <w:keepNext w:val="0"/>
              <w:keepLines w:val="0"/>
              <w:suppressLineNumbers w:val="0"/>
              <w:spacing w:before="1" w:beforeAutospacing="0" w:after="0" w:afterAutospacing="0"/>
              <w:ind w:left="6" w:right="0"/>
              <w:jc w:val="center"/>
              <w:rPr>
                <w:rFonts w:hint="default"/>
                <w:sz w:val="21"/>
              </w:rPr>
            </w:pPr>
            <w:r>
              <w:rPr>
                <w:rFonts w:hint="default"/>
                <w:w w:val="99"/>
                <w:sz w:val="21"/>
              </w:rPr>
              <w:t>3</w:t>
            </w:r>
          </w:p>
        </w:tc>
        <w:tc>
          <w:tcPr>
            <w:tcW w:w="1311" w:type="dxa"/>
            <w:noWrap w:val="0"/>
            <w:vAlign w:val="center"/>
          </w:tcPr>
          <w:p>
            <w:pPr>
              <w:pStyle w:val="7"/>
              <w:keepNext w:val="0"/>
              <w:keepLines w:val="0"/>
              <w:suppressLineNumbers w:val="0"/>
              <w:spacing w:before="0" w:beforeAutospacing="0" w:after="0" w:afterAutospacing="0" w:line="364" w:lineRule="auto"/>
              <w:ind w:left="0" w:right="226"/>
              <w:jc w:val="both"/>
              <w:rPr>
                <w:rFonts w:hint="default"/>
                <w:sz w:val="21"/>
              </w:rPr>
            </w:pPr>
            <w:r>
              <w:rPr>
                <w:rFonts w:hint="eastAsia"/>
                <w:sz w:val="21"/>
              </w:rPr>
              <w:t>拟投入</w:t>
            </w:r>
            <w:r>
              <w:rPr>
                <w:rFonts w:hint="eastAsia"/>
                <w:sz w:val="21"/>
                <w:lang w:val="en-US" w:eastAsia="zh-CN"/>
              </w:rPr>
              <w:t>专家团队</w:t>
            </w:r>
            <w:r>
              <w:rPr>
                <w:rFonts w:hint="eastAsia"/>
                <w:sz w:val="21"/>
              </w:rPr>
              <w:t>情况分</w:t>
            </w:r>
          </w:p>
        </w:tc>
        <w:tc>
          <w:tcPr>
            <w:tcW w:w="5730" w:type="dxa"/>
            <w:noWrap w:val="0"/>
            <w:vAlign w:val="center"/>
          </w:tcPr>
          <w:p>
            <w:pPr>
              <w:keepNext w:val="0"/>
              <w:keepLines w:val="0"/>
              <w:suppressLineNumbers w:val="0"/>
              <w:spacing w:before="0" w:beforeAutospacing="0" w:after="0" w:afterAutospacing="0" w:line="360" w:lineRule="auto"/>
              <w:ind w:left="0" w:right="0" w:firstLine="210" w:firstLineChars="100"/>
              <w:jc w:val="both"/>
              <w:rPr>
                <w:rFonts w:hint="eastAsia"/>
              </w:rPr>
            </w:pPr>
            <w:r>
              <w:rPr>
                <w:rFonts w:hint="eastAsia"/>
              </w:rPr>
              <w:t>一档（</w:t>
            </w:r>
            <w:r>
              <w:rPr>
                <w:rFonts w:hint="eastAsia"/>
                <w:lang w:val="en-US" w:eastAsia="zh-CN"/>
              </w:rPr>
              <w:t>0</w:t>
            </w:r>
            <w:r>
              <w:rPr>
                <w:rFonts w:hint="eastAsia"/>
              </w:rPr>
              <w:t>分）：依据采购需求，拟投入的</w:t>
            </w:r>
            <w:r>
              <w:rPr>
                <w:rFonts w:hint="eastAsia"/>
                <w:sz w:val="21"/>
                <w:lang w:val="en-US" w:eastAsia="zh-CN"/>
              </w:rPr>
              <w:t>专家团队</w:t>
            </w:r>
            <w:r>
              <w:rPr>
                <w:rFonts w:hint="eastAsia"/>
              </w:rPr>
              <w:t>为</w:t>
            </w:r>
            <w:r>
              <w:rPr>
                <w:rFonts w:hint="eastAsia"/>
                <w:lang w:val="en-US" w:eastAsia="zh-CN"/>
              </w:rPr>
              <w:t>5</w:t>
            </w:r>
            <w:r>
              <w:rPr>
                <w:rFonts w:hint="eastAsia"/>
              </w:rPr>
              <w:t>人及以下的，</w:t>
            </w:r>
            <w:r>
              <w:rPr>
                <w:rFonts w:hint="eastAsia"/>
                <w:lang w:val="en-US" w:eastAsia="zh-CN"/>
              </w:rPr>
              <w:t>人员</w:t>
            </w:r>
            <w:r>
              <w:rPr>
                <w:rFonts w:hint="eastAsia"/>
              </w:rPr>
              <w:t>具有</w:t>
            </w:r>
            <w:r>
              <w:rPr>
                <w:rFonts w:hint="eastAsia"/>
                <w:lang w:val="en-US" w:eastAsia="zh-CN"/>
              </w:rPr>
              <w:t>中级及以上职称</w:t>
            </w:r>
            <w:r>
              <w:rPr>
                <w:rFonts w:hint="eastAsia"/>
              </w:rPr>
              <w:t>。</w:t>
            </w:r>
          </w:p>
          <w:p>
            <w:pPr>
              <w:keepNext w:val="0"/>
              <w:keepLines w:val="0"/>
              <w:suppressLineNumbers w:val="0"/>
              <w:spacing w:before="0" w:beforeAutospacing="0" w:after="0" w:afterAutospacing="0" w:line="360" w:lineRule="auto"/>
              <w:ind w:left="0" w:right="0" w:firstLine="210" w:firstLineChars="100"/>
              <w:jc w:val="both"/>
              <w:rPr>
                <w:rFonts w:hint="eastAsia"/>
              </w:rPr>
            </w:pPr>
            <w:r>
              <w:rPr>
                <w:rFonts w:hint="eastAsia"/>
                <w:lang w:val="en-US" w:eastAsia="zh-CN"/>
              </w:rPr>
              <w:t>二</w:t>
            </w:r>
            <w:r>
              <w:rPr>
                <w:rFonts w:hint="eastAsia"/>
              </w:rPr>
              <w:t>档（5分）：依据采购需求，拟投入的</w:t>
            </w:r>
            <w:r>
              <w:rPr>
                <w:rFonts w:hint="eastAsia"/>
                <w:sz w:val="21"/>
                <w:lang w:val="en-US" w:eastAsia="zh-CN"/>
              </w:rPr>
              <w:t>专家团队</w:t>
            </w:r>
            <w:r>
              <w:rPr>
                <w:rFonts w:hint="eastAsia"/>
              </w:rPr>
              <w:t>为</w:t>
            </w:r>
            <w:r>
              <w:rPr>
                <w:rFonts w:hint="eastAsia"/>
                <w:lang w:val="en-US" w:eastAsia="zh-CN"/>
              </w:rPr>
              <w:t>5</w:t>
            </w:r>
            <w:r>
              <w:rPr>
                <w:rFonts w:hint="eastAsia"/>
              </w:rPr>
              <w:t>人及以下的，</w:t>
            </w:r>
            <w:r>
              <w:rPr>
                <w:rFonts w:hint="eastAsia"/>
                <w:lang w:val="en-US" w:eastAsia="zh-CN"/>
              </w:rPr>
              <w:t>人员具备副教授级及以上</w:t>
            </w:r>
            <w:r>
              <w:rPr>
                <w:rFonts w:hint="eastAsia"/>
              </w:rPr>
              <w:t>职称。</w:t>
            </w:r>
          </w:p>
          <w:p>
            <w:pPr>
              <w:keepNext w:val="0"/>
              <w:keepLines w:val="0"/>
              <w:suppressLineNumbers w:val="0"/>
              <w:spacing w:before="0" w:beforeAutospacing="0" w:after="0" w:afterAutospacing="0" w:line="360" w:lineRule="auto"/>
              <w:ind w:left="0" w:right="0" w:firstLine="210" w:firstLineChars="100"/>
              <w:jc w:val="both"/>
              <w:rPr>
                <w:rFonts w:hint="eastAsia"/>
              </w:rPr>
            </w:pPr>
            <w:r>
              <w:rPr>
                <w:rFonts w:hint="eastAsia"/>
                <w:lang w:val="en-US" w:eastAsia="zh-CN"/>
              </w:rPr>
              <w:t>三</w:t>
            </w:r>
            <w:r>
              <w:rPr>
                <w:rFonts w:hint="eastAsia"/>
              </w:rPr>
              <w:t>档（10分）：依据采购需求，拟投入的</w:t>
            </w:r>
            <w:r>
              <w:rPr>
                <w:rFonts w:hint="eastAsia"/>
                <w:sz w:val="21"/>
                <w:lang w:val="en-US" w:eastAsia="zh-CN"/>
              </w:rPr>
              <w:t>专家团队</w:t>
            </w:r>
            <w:r>
              <w:rPr>
                <w:rFonts w:hint="eastAsia"/>
              </w:rPr>
              <w:t>为</w:t>
            </w:r>
            <w:r>
              <w:rPr>
                <w:rFonts w:hint="eastAsia"/>
                <w:lang w:val="en-US" w:eastAsia="zh-CN"/>
              </w:rPr>
              <w:t>6</w:t>
            </w:r>
            <w:r>
              <w:rPr>
                <w:rFonts w:hint="eastAsia"/>
              </w:rPr>
              <w:t>人到</w:t>
            </w:r>
            <w:r>
              <w:rPr>
                <w:rFonts w:hint="eastAsia"/>
                <w:lang w:val="en-US" w:eastAsia="zh-CN"/>
              </w:rPr>
              <w:t>10</w:t>
            </w:r>
            <w:r>
              <w:rPr>
                <w:rFonts w:hint="eastAsia"/>
              </w:rPr>
              <w:t>人，人员</w:t>
            </w:r>
            <w:r>
              <w:rPr>
                <w:rFonts w:hint="eastAsia"/>
                <w:lang w:val="en-US" w:eastAsia="zh-CN"/>
              </w:rPr>
              <w:t>具备副教授级及以</w:t>
            </w:r>
            <w:r>
              <w:rPr>
                <w:rFonts w:hint="eastAsia"/>
              </w:rPr>
              <w:t>上职称占比</w:t>
            </w:r>
            <w:r>
              <w:rPr>
                <w:rFonts w:hint="eastAsia"/>
                <w:lang w:val="en-US" w:eastAsia="zh-CN"/>
              </w:rPr>
              <w:t>达</w:t>
            </w:r>
            <w:r>
              <w:rPr>
                <w:rFonts w:hint="eastAsia"/>
              </w:rPr>
              <w:t>30%及以上。</w:t>
            </w:r>
          </w:p>
          <w:p>
            <w:pPr>
              <w:keepNext w:val="0"/>
              <w:keepLines w:val="0"/>
              <w:suppressLineNumbers w:val="0"/>
              <w:spacing w:before="0" w:beforeAutospacing="0" w:after="0" w:afterAutospacing="0" w:line="360" w:lineRule="auto"/>
              <w:ind w:left="0" w:right="0" w:firstLine="210" w:firstLineChars="100"/>
              <w:jc w:val="both"/>
              <w:rPr>
                <w:rFonts w:hint="eastAsia"/>
              </w:rPr>
            </w:pPr>
            <w:r>
              <w:rPr>
                <w:rFonts w:hint="eastAsia"/>
                <w:lang w:val="en-US" w:eastAsia="zh-CN"/>
              </w:rPr>
              <w:t>四</w:t>
            </w:r>
            <w:r>
              <w:rPr>
                <w:rFonts w:hint="eastAsia"/>
              </w:rPr>
              <w:t>档（1</w:t>
            </w:r>
            <w:r>
              <w:rPr>
                <w:rFonts w:hint="eastAsia"/>
                <w:lang w:val="en-US" w:eastAsia="zh-CN"/>
              </w:rPr>
              <w:t>7</w:t>
            </w:r>
            <w:r>
              <w:rPr>
                <w:rFonts w:hint="eastAsia"/>
              </w:rPr>
              <w:t>分）：依据采购需求，拟投入的</w:t>
            </w:r>
            <w:r>
              <w:rPr>
                <w:rFonts w:hint="eastAsia"/>
                <w:sz w:val="21"/>
                <w:lang w:val="en-US" w:eastAsia="zh-CN"/>
              </w:rPr>
              <w:t>专家团队</w:t>
            </w:r>
            <w:r>
              <w:rPr>
                <w:rFonts w:hint="eastAsia"/>
              </w:rPr>
              <w:t>为</w:t>
            </w:r>
            <w:r>
              <w:rPr>
                <w:rFonts w:hint="eastAsia"/>
                <w:lang w:val="en-US" w:eastAsia="zh-CN"/>
              </w:rPr>
              <w:t>11</w:t>
            </w:r>
            <w:r>
              <w:rPr>
                <w:rFonts w:hint="eastAsia"/>
              </w:rPr>
              <w:t>人到</w:t>
            </w:r>
            <w:r>
              <w:rPr>
                <w:rFonts w:hint="eastAsia"/>
                <w:lang w:val="en-US" w:eastAsia="zh-CN"/>
              </w:rPr>
              <w:t>15</w:t>
            </w:r>
            <w:r>
              <w:rPr>
                <w:rFonts w:hint="eastAsia"/>
              </w:rPr>
              <w:t>人，人员</w:t>
            </w:r>
            <w:r>
              <w:rPr>
                <w:rFonts w:hint="eastAsia"/>
                <w:lang w:val="en-US" w:eastAsia="zh-CN"/>
              </w:rPr>
              <w:t>具备副教授级及以</w:t>
            </w:r>
            <w:r>
              <w:rPr>
                <w:rFonts w:hint="eastAsia"/>
              </w:rPr>
              <w:t>上职称占比</w:t>
            </w:r>
            <w:r>
              <w:rPr>
                <w:rFonts w:hint="eastAsia"/>
                <w:lang w:val="en-US" w:eastAsia="zh-CN"/>
              </w:rPr>
              <w:t>达5</w:t>
            </w:r>
            <w:r>
              <w:rPr>
                <w:rFonts w:hint="eastAsia"/>
              </w:rPr>
              <w:t>0%及以上。</w:t>
            </w:r>
          </w:p>
          <w:p>
            <w:pPr>
              <w:keepNext w:val="0"/>
              <w:keepLines w:val="0"/>
              <w:suppressLineNumbers w:val="0"/>
              <w:spacing w:before="0" w:beforeAutospacing="0" w:after="0" w:afterAutospacing="0" w:line="360" w:lineRule="auto"/>
              <w:ind w:left="0" w:right="0" w:firstLine="210" w:firstLineChars="100"/>
              <w:jc w:val="both"/>
              <w:rPr>
                <w:rFonts w:hint="eastAsia"/>
              </w:rPr>
            </w:pPr>
            <w:r>
              <w:rPr>
                <w:rFonts w:hint="eastAsia"/>
                <w:lang w:val="en-US" w:eastAsia="zh-CN"/>
              </w:rPr>
              <w:t>五</w:t>
            </w:r>
            <w:r>
              <w:rPr>
                <w:rFonts w:hint="eastAsia"/>
              </w:rPr>
              <w:t>档（</w:t>
            </w:r>
            <w:r>
              <w:rPr>
                <w:rFonts w:hint="eastAsia"/>
                <w:lang w:val="en-US" w:eastAsia="zh-CN"/>
              </w:rPr>
              <w:t>25</w:t>
            </w:r>
            <w:r>
              <w:rPr>
                <w:rFonts w:hint="eastAsia"/>
              </w:rPr>
              <w:t>分）：依据采购需求，拟投入的</w:t>
            </w:r>
            <w:r>
              <w:rPr>
                <w:rFonts w:hint="eastAsia"/>
                <w:sz w:val="21"/>
                <w:lang w:val="en-US" w:eastAsia="zh-CN"/>
              </w:rPr>
              <w:t>专家团队</w:t>
            </w:r>
            <w:r>
              <w:rPr>
                <w:rFonts w:hint="eastAsia"/>
              </w:rPr>
              <w:t>为</w:t>
            </w:r>
            <w:r>
              <w:rPr>
                <w:rFonts w:hint="eastAsia"/>
                <w:lang w:val="en-US" w:eastAsia="zh-CN"/>
              </w:rPr>
              <w:t>16</w:t>
            </w:r>
            <w:r>
              <w:rPr>
                <w:rFonts w:hint="eastAsia"/>
              </w:rPr>
              <w:t>人及以上，人员</w:t>
            </w:r>
            <w:r>
              <w:rPr>
                <w:rFonts w:hint="eastAsia"/>
                <w:lang w:val="en-US" w:eastAsia="zh-CN"/>
              </w:rPr>
              <w:t>具备副教授级及以</w:t>
            </w:r>
            <w:r>
              <w:rPr>
                <w:rFonts w:hint="eastAsia"/>
              </w:rPr>
              <w:t>上职称占比</w:t>
            </w:r>
            <w:r>
              <w:rPr>
                <w:rFonts w:hint="eastAsia"/>
                <w:lang w:val="en-US" w:eastAsia="zh-CN"/>
              </w:rPr>
              <w:t>达7</w:t>
            </w:r>
            <w:r>
              <w:rPr>
                <w:rFonts w:hint="eastAsia"/>
              </w:rPr>
              <w:t>0%及以上。</w:t>
            </w:r>
          </w:p>
          <w:p>
            <w:pPr>
              <w:pStyle w:val="2"/>
              <w:keepNext w:val="0"/>
              <w:keepLines w:val="0"/>
              <w:suppressLineNumbers w:val="0"/>
              <w:spacing w:before="0" w:beforeAutospacing="0" w:after="0" w:afterAutospacing="0"/>
              <w:ind w:left="0" w:right="0"/>
              <w:jc w:val="both"/>
              <w:rPr>
                <w:rFonts w:hint="default" w:eastAsia="宋体"/>
                <w:lang w:val="en-US" w:eastAsia="zh-CN"/>
              </w:rPr>
            </w:pPr>
            <w:r>
              <w:rPr>
                <w:rFonts w:hint="eastAsia"/>
                <w:lang w:val="en-US" w:eastAsia="zh-CN"/>
              </w:rPr>
              <w:t xml:space="preserve"> </w:t>
            </w:r>
            <w:r>
              <w:rPr>
                <w:rFonts w:hint="eastAsia" w:ascii="Times New Roman" w:hAnsi="Times New Roman" w:eastAsia="宋体" w:cs="Times New Roman"/>
                <w:b w:val="0"/>
                <w:spacing w:val="0"/>
                <w:kern w:val="2"/>
                <w:sz w:val="21"/>
                <w:szCs w:val="24"/>
                <w:lang w:val="en-US" w:eastAsia="zh-CN" w:bidi="ar-SA"/>
              </w:rPr>
              <w:t>注：评审时以人员的职称证书为准。</w:t>
            </w:r>
          </w:p>
          <w:p>
            <w:pPr>
              <w:pStyle w:val="2"/>
              <w:keepNext w:val="0"/>
              <w:keepLines w:val="0"/>
              <w:suppressLineNumbers w:val="0"/>
              <w:spacing w:before="0" w:beforeAutospacing="0" w:after="0" w:afterAutospacing="0"/>
              <w:ind w:left="0" w:right="0"/>
              <w:jc w:val="both"/>
              <w:rPr>
                <w:rFonts w:hint="default"/>
              </w:rPr>
            </w:pPr>
          </w:p>
        </w:tc>
        <w:tc>
          <w:tcPr>
            <w:tcW w:w="1309" w:type="dxa"/>
            <w:noWrap w:val="0"/>
            <w:vAlign w:val="top"/>
          </w:tcPr>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1" w:beforeAutospacing="0" w:after="0" w:afterAutospacing="0"/>
              <w:ind w:left="108" w:right="100"/>
              <w:jc w:val="center"/>
              <w:rPr>
                <w:rFonts w:hint="default"/>
                <w:sz w:val="21"/>
              </w:rPr>
            </w:pPr>
          </w:p>
          <w:p>
            <w:pPr>
              <w:pStyle w:val="7"/>
              <w:keepNext w:val="0"/>
              <w:keepLines w:val="0"/>
              <w:suppressLineNumbers w:val="0"/>
              <w:spacing w:before="1" w:beforeAutospacing="0" w:after="0" w:afterAutospacing="0"/>
              <w:ind w:left="108" w:right="100"/>
              <w:jc w:val="center"/>
              <w:rPr>
                <w:rFonts w:hint="default"/>
                <w:sz w:val="21"/>
              </w:rPr>
            </w:pPr>
          </w:p>
          <w:p>
            <w:pPr>
              <w:pStyle w:val="7"/>
              <w:keepNext w:val="0"/>
              <w:keepLines w:val="0"/>
              <w:suppressLineNumbers w:val="0"/>
              <w:spacing w:before="1" w:beforeAutospacing="0" w:after="0" w:afterAutospacing="0"/>
              <w:ind w:left="108" w:right="100"/>
              <w:jc w:val="center"/>
              <w:rPr>
                <w:rFonts w:hint="default"/>
                <w:sz w:val="21"/>
              </w:rPr>
            </w:pPr>
          </w:p>
          <w:p>
            <w:pPr>
              <w:pStyle w:val="7"/>
              <w:keepNext w:val="0"/>
              <w:keepLines w:val="0"/>
              <w:suppressLineNumbers w:val="0"/>
              <w:spacing w:before="1" w:beforeAutospacing="0" w:after="0" w:afterAutospacing="0"/>
              <w:ind w:left="108" w:right="100"/>
              <w:jc w:val="center"/>
              <w:rPr>
                <w:rFonts w:hint="default"/>
                <w:sz w:val="21"/>
              </w:rPr>
            </w:pPr>
            <w:r>
              <w:rPr>
                <w:rFonts w:hint="default"/>
                <w:sz w:val="21"/>
              </w:rPr>
              <w:t>满分</w:t>
            </w:r>
            <w:r>
              <w:rPr>
                <w:rFonts w:hint="eastAsia"/>
                <w:sz w:val="21"/>
                <w:lang w:val="en-US" w:eastAsia="zh-CN"/>
              </w:rPr>
              <w:t xml:space="preserve">25 </w:t>
            </w:r>
            <w:r>
              <w:rPr>
                <w:rFonts w:hint="default"/>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5" w:hRule="atLeast"/>
          <w:jc w:val="center"/>
        </w:trPr>
        <w:tc>
          <w:tcPr>
            <w:tcW w:w="998" w:type="dxa"/>
            <w:noWrap w:val="0"/>
            <w:vAlign w:val="center"/>
          </w:tcPr>
          <w:p>
            <w:pPr>
              <w:pStyle w:val="7"/>
              <w:keepNext w:val="0"/>
              <w:keepLines w:val="0"/>
              <w:suppressLineNumbers w:val="0"/>
              <w:spacing w:before="0" w:beforeAutospacing="0" w:after="0" w:afterAutospacing="0"/>
              <w:ind w:left="0" w:right="0"/>
              <w:jc w:val="center"/>
              <w:rPr>
                <w:rFonts w:hint="eastAsia" w:eastAsia="宋体"/>
                <w:w w:val="99"/>
                <w:sz w:val="21"/>
                <w:lang w:val="en-US" w:eastAsia="zh-CN"/>
              </w:rPr>
            </w:pPr>
            <w:r>
              <w:rPr>
                <w:rFonts w:hint="eastAsia"/>
                <w:w w:val="99"/>
                <w:sz w:val="21"/>
                <w:lang w:val="en-US" w:eastAsia="zh-CN"/>
              </w:rPr>
              <w:t>4</w:t>
            </w:r>
          </w:p>
        </w:tc>
        <w:tc>
          <w:tcPr>
            <w:tcW w:w="1311" w:type="dxa"/>
            <w:noWrap w:val="0"/>
            <w:vAlign w:val="center"/>
          </w:tcPr>
          <w:p>
            <w:pPr>
              <w:pStyle w:val="7"/>
              <w:keepNext w:val="0"/>
              <w:keepLines w:val="0"/>
              <w:suppressLineNumbers w:val="0"/>
              <w:spacing w:before="0" w:beforeAutospacing="0" w:after="0" w:afterAutospacing="0" w:line="364" w:lineRule="auto"/>
              <w:ind w:left="234" w:right="121" w:hanging="106"/>
              <w:jc w:val="both"/>
              <w:rPr>
                <w:rFonts w:hint="default"/>
                <w:sz w:val="21"/>
              </w:rPr>
            </w:pPr>
            <w:r>
              <w:rPr>
                <w:rFonts w:hint="eastAsia"/>
                <w:sz w:val="21"/>
              </w:rPr>
              <w:t>工作进度安排方案</w:t>
            </w:r>
          </w:p>
        </w:tc>
        <w:tc>
          <w:tcPr>
            <w:tcW w:w="5730" w:type="dxa"/>
            <w:noWrap w:val="0"/>
            <w:vAlign w:val="center"/>
          </w:tcPr>
          <w:p>
            <w:pPr>
              <w:keepNext w:val="0"/>
              <w:keepLines w:val="0"/>
              <w:suppressLineNumbers w:val="0"/>
              <w:spacing w:before="0" w:beforeAutospacing="0" w:after="0" w:afterAutospacing="0" w:line="360" w:lineRule="auto"/>
              <w:ind w:left="0" w:right="0" w:firstLine="420" w:firstLineChars="200"/>
              <w:jc w:val="both"/>
              <w:rPr>
                <w:rFonts w:hint="eastAsia"/>
                <w:lang w:val="en-US"/>
              </w:rPr>
            </w:pPr>
            <w:r>
              <w:rPr>
                <w:rFonts w:hint="eastAsia"/>
                <w:lang w:val="en-US"/>
              </w:rPr>
              <w:t>一档（</w:t>
            </w:r>
            <w:r>
              <w:rPr>
                <w:rFonts w:hint="eastAsia"/>
                <w:lang w:val="en-US" w:eastAsia="zh-CN"/>
              </w:rPr>
              <w:t>4</w:t>
            </w:r>
            <w:r>
              <w:rPr>
                <w:rFonts w:hint="eastAsia"/>
                <w:lang w:val="en-US"/>
              </w:rPr>
              <w:t>分）：供应商对本项目服务工作量及项目计划安排有描述并进行分析，有简单的人员、设备计划投入。</w:t>
            </w:r>
          </w:p>
          <w:p>
            <w:pPr>
              <w:keepNext w:val="0"/>
              <w:keepLines w:val="0"/>
              <w:suppressLineNumbers w:val="0"/>
              <w:spacing w:before="0" w:beforeAutospacing="0" w:after="0" w:afterAutospacing="0" w:line="360" w:lineRule="auto"/>
              <w:ind w:left="0" w:right="0" w:firstLine="420" w:firstLineChars="200"/>
              <w:jc w:val="both"/>
              <w:rPr>
                <w:rFonts w:hint="eastAsia"/>
                <w:lang w:val="en-US"/>
              </w:rPr>
            </w:pPr>
            <w:r>
              <w:rPr>
                <w:rFonts w:hint="eastAsia"/>
                <w:lang w:val="en-US"/>
              </w:rPr>
              <w:t>二档（</w:t>
            </w:r>
            <w:r>
              <w:rPr>
                <w:rFonts w:hint="eastAsia"/>
                <w:lang w:val="en-US" w:eastAsia="zh-CN"/>
              </w:rPr>
              <w:t>9</w:t>
            </w:r>
            <w:r>
              <w:rPr>
                <w:rFonts w:hint="eastAsia"/>
                <w:lang w:val="en-US"/>
              </w:rPr>
              <w:t>分）：供应商对本项目服务工作量分析一般，无较大错误，人员、设备投入一般，对项目计划一般的。</w:t>
            </w:r>
          </w:p>
          <w:p>
            <w:pPr>
              <w:keepNext w:val="0"/>
              <w:keepLines w:val="0"/>
              <w:suppressLineNumbers w:val="0"/>
              <w:spacing w:before="0" w:beforeAutospacing="0" w:after="0" w:afterAutospacing="0" w:line="360" w:lineRule="auto"/>
              <w:ind w:left="0" w:right="0" w:firstLine="420" w:firstLineChars="200"/>
              <w:jc w:val="both"/>
              <w:rPr>
                <w:rFonts w:hint="eastAsia"/>
                <w:lang w:val="en-US"/>
              </w:rPr>
            </w:pPr>
            <w:r>
              <w:rPr>
                <w:rFonts w:hint="eastAsia"/>
                <w:lang w:val="en-US"/>
              </w:rPr>
              <w:t>三档（1</w:t>
            </w:r>
            <w:r>
              <w:rPr>
                <w:rFonts w:hint="eastAsia"/>
                <w:lang w:val="en-US" w:eastAsia="zh-CN"/>
              </w:rPr>
              <w:t>4</w:t>
            </w:r>
            <w:r>
              <w:rPr>
                <w:rFonts w:hint="eastAsia"/>
                <w:lang w:val="en-US"/>
              </w:rPr>
              <w:t>分）：供应商对本项目服务工作量分析较准确、基本无误，人员、设备投入较充足，对项目计划较合理的。</w:t>
            </w:r>
          </w:p>
          <w:p>
            <w:pPr>
              <w:keepNext w:val="0"/>
              <w:keepLines w:val="0"/>
              <w:suppressLineNumbers w:val="0"/>
              <w:spacing w:before="0" w:beforeAutospacing="0" w:after="0" w:afterAutospacing="0" w:line="360" w:lineRule="auto"/>
              <w:ind w:left="0" w:right="0" w:firstLine="420" w:firstLineChars="200"/>
              <w:jc w:val="both"/>
              <w:rPr>
                <w:rFonts w:hint="eastAsia"/>
                <w:lang w:val="en-US"/>
              </w:rPr>
            </w:pPr>
            <w:r>
              <w:rPr>
                <w:rFonts w:hint="eastAsia"/>
                <w:lang w:val="en-US"/>
              </w:rPr>
              <w:t>四档（1</w:t>
            </w:r>
            <w:r>
              <w:rPr>
                <w:rFonts w:hint="eastAsia"/>
                <w:lang w:val="en-US" w:eastAsia="zh-CN"/>
              </w:rPr>
              <w:t>8</w:t>
            </w:r>
            <w:r>
              <w:rPr>
                <w:rFonts w:hint="eastAsia"/>
                <w:lang w:val="en-US"/>
              </w:rPr>
              <w:t>分）：供应商对本项目服务工作量分析准确、无误，人员、设备投入充足，对项目计划合理的。</w:t>
            </w:r>
          </w:p>
        </w:tc>
        <w:tc>
          <w:tcPr>
            <w:tcW w:w="1309" w:type="dxa"/>
            <w:noWrap w:val="0"/>
            <w:vAlign w:val="center"/>
          </w:tcPr>
          <w:p>
            <w:pPr>
              <w:pStyle w:val="7"/>
              <w:keepNext w:val="0"/>
              <w:keepLines w:val="0"/>
              <w:suppressLineNumbers w:val="0"/>
              <w:spacing w:before="0" w:beforeAutospacing="0" w:after="0" w:afterAutospacing="0"/>
              <w:ind w:left="0" w:right="0"/>
              <w:jc w:val="center"/>
              <w:rPr>
                <w:rFonts w:hint="default"/>
                <w:sz w:val="21"/>
              </w:rPr>
            </w:pPr>
            <w:r>
              <w:rPr>
                <w:rFonts w:hint="default"/>
                <w:sz w:val="21"/>
              </w:rPr>
              <w:t xml:space="preserve">满分 </w:t>
            </w:r>
            <w:r>
              <w:rPr>
                <w:rFonts w:hint="eastAsia"/>
                <w:sz w:val="21"/>
                <w:lang w:val="en-US" w:eastAsia="zh-CN"/>
              </w:rPr>
              <w:t xml:space="preserve">18 </w:t>
            </w:r>
            <w:r>
              <w:rPr>
                <w:rFonts w:hint="default"/>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7" w:hRule="atLeast"/>
          <w:jc w:val="center"/>
        </w:trPr>
        <w:tc>
          <w:tcPr>
            <w:tcW w:w="998" w:type="dxa"/>
            <w:noWrap w:val="0"/>
            <w:vAlign w:val="center"/>
          </w:tcPr>
          <w:p>
            <w:pPr>
              <w:pStyle w:val="7"/>
              <w:keepNext w:val="0"/>
              <w:keepLines w:val="0"/>
              <w:suppressLineNumbers w:val="0"/>
              <w:spacing w:before="0" w:beforeAutospacing="0" w:after="0" w:afterAutospacing="0"/>
              <w:ind w:left="0" w:right="0"/>
              <w:jc w:val="center"/>
              <w:rPr>
                <w:rFonts w:hint="eastAsia" w:eastAsia="宋体"/>
                <w:sz w:val="21"/>
                <w:lang w:eastAsia="zh-CN"/>
              </w:rPr>
            </w:pPr>
            <w:r>
              <w:rPr>
                <w:rFonts w:hint="eastAsia"/>
                <w:w w:val="99"/>
                <w:sz w:val="21"/>
                <w:lang w:val="en-US" w:eastAsia="zh-CN"/>
              </w:rPr>
              <w:t>5</w:t>
            </w:r>
          </w:p>
        </w:tc>
        <w:tc>
          <w:tcPr>
            <w:tcW w:w="1311" w:type="dxa"/>
            <w:noWrap w:val="0"/>
            <w:vAlign w:val="center"/>
          </w:tcPr>
          <w:p>
            <w:pPr>
              <w:pStyle w:val="7"/>
              <w:keepNext w:val="0"/>
              <w:keepLines w:val="0"/>
              <w:suppressLineNumbers w:val="0"/>
              <w:spacing w:before="10" w:beforeAutospacing="0" w:after="0" w:afterAutospacing="0"/>
              <w:ind w:left="0" w:right="0"/>
              <w:jc w:val="both"/>
              <w:rPr>
                <w:rFonts w:hint="default"/>
                <w:sz w:val="23"/>
              </w:rPr>
            </w:pPr>
          </w:p>
          <w:p>
            <w:pPr>
              <w:pStyle w:val="7"/>
              <w:keepNext w:val="0"/>
              <w:keepLines w:val="0"/>
              <w:suppressLineNumbers w:val="0"/>
              <w:spacing w:before="0" w:beforeAutospacing="0" w:after="0" w:afterAutospacing="0" w:line="364" w:lineRule="auto"/>
              <w:ind w:left="234" w:right="121" w:hanging="106"/>
              <w:jc w:val="both"/>
              <w:rPr>
                <w:rFonts w:hint="default"/>
                <w:sz w:val="21"/>
              </w:rPr>
            </w:pPr>
            <w:r>
              <w:rPr>
                <w:rFonts w:hint="default"/>
                <w:sz w:val="21"/>
              </w:rPr>
              <w:t>服务承诺分</w:t>
            </w:r>
          </w:p>
        </w:tc>
        <w:tc>
          <w:tcPr>
            <w:tcW w:w="5730" w:type="dxa"/>
            <w:noWrap w:val="0"/>
            <w:vAlign w:val="top"/>
          </w:tcPr>
          <w:p>
            <w:pPr>
              <w:keepNext w:val="0"/>
              <w:keepLines w:val="0"/>
              <w:suppressLineNumbers w:val="0"/>
              <w:spacing w:before="0" w:beforeAutospacing="0" w:after="0" w:afterAutospacing="0" w:line="360" w:lineRule="auto"/>
              <w:ind w:left="0" w:right="0" w:firstLine="420" w:firstLineChars="200"/>
              <w:rPr>
                <w:rFonts w:hint="eastAsia"/>
                <w:sz w:val="21"/>
              </w:rPr>
            </w:pPr>
            <w:r>
              <w:rPr>
                <w:rFonts w:hint="eastAsia"/>
                <w:sz w:val="21"/>
              </w:rPr>
              <w:t>一档（</w:t>
            </w:r>
            <w:r>
              <w:rPr>
                <w:rFonts w:hint="eastAsia"/>
                <w:sz w:val="21"/>
                <w:lang w:val="en-US" w:eastAsia="zh-CN"/>
              </w:rPr>
              <w:t>4</w:t>
            </w:r>
            <w:r>
              <w:rPr>
                <w:rFonts w:hint="eastAsia"/>
                <w:sz w:val="21"/>
              </w:rPr>
              <w:t>分）：服务承诺基本完整，可行性一般，提出后续服务的安排和保证措施一般的。</w:t>
            </w:r>
          </w:p>
          <w:p>
            <w:pPr>
              <w:keepNext w:val="0"/>
              <w:keepLines w:val="0"/>
              <w:suppressLineNumbers w:val="0"/>
              <w:spacing w:before="0" w:beforeAutospacing="0" w:after="0" w:afterAutospacing="0" w:line="360" w:lineRule="auto"/>
              <w:ind w:left="0" w:right="0" w:firstLine="420" w:firstLineChars="200"/>
              <w:rPr>
                <w:rFonts w:hint="eastAsia"/>
                <w:sz w:val="21"/>
              </w:rPr>
            </w:pPr>
            <w:r>
              <w:rPr>
                <w:rFonts w:hint="eastAsia"/>
                <w:sz w:val="21"/>
              </w:rPr>
              <w:t>二档（</w:t>
            </w:r>
            <w:r>
              <w:rPr>
                <w:rFonts w:hint="eastAsia"/>
                <w:sz w:val="21"/>
                <w:lang w:val="en-US" w:eastAsia="zh-CN"/>
              </w:rPr>
              <w:t>9</w:t>
            </w:r>
            <w:r>
              <w:rPr>
                <w:rFonts w:hint="eastAsia"/>
                <w:sz w:val="21"/>
              </w:rPr>
              <w:t>分）：服务承诺较完整，可行性较强，承诺对出现的问题响应及时，有简单的跟踪服务计划，能保证后期服务到位的。</w:t>
            </w:r>
          </w:p>
          <w:p>
            <w:pPr>
              <w:keepNext w:val="0"/>
              <w:keepLines w:val="0"/>
              <w:suppressLineNumbers w:val="0"/>
              <w:spacing w:before="0" w:beforeAutospacing="0" w:after="0" w:afterAutospacing="0" w:line="360" w:lineRule="auto"/>
              <w:ind w:left="0" w:right="0" w:firstLine="420" w:firstLineChars="200"/>
              <w:rPr>
                <w:rFonts w:hint="eastAsia"/>
                <w:sz w:val="21"/>
              </w:rPr>
            </w:pPr>
            <w:r>
              <w:rPr>
                <w:rFonts w:hint="eastAsia"/>
                <w:sz w:val="21"/>
              </w:rPr>
              <w:t>三档（</w:t>
            </w:r>
            <w:r>
              <w:rPr>
                <w:rFonts w:hint="eastAsia"/>
                <w:sz w:val="21"/>
                <w:lang w:val="en-US" w:eastAsia="zh-CN"/>
              </w:rPr>
              <w:t>14</w:t>
            </w:r>
            <w:r>
              <w:rPr>
                <w:rFonts w:hint="eastAsia"/>
                <w:sz w:val="21"/>
              </w:rPr>
              <w:t>分）：能结合本项目实际情况，保障措施表述较清晰、完整，有完善的跟踪服务计划，方案良好，相应保证措施较可行的。</w:t>
            </w:r>
          </w:p>
          <w:p>
            <w:pPr>
              <w:keepNext w:val="0"/>
              <w:keepLines w:val="0"/>
              <w:suppressLineNumbers w:val="0"/>
              <w:spacing w:before="0" w:beforeAutospacing="0" w:after="0" w:afterAutospacing="0" w:line="360" w:lineRule="auto"/>
              <w:ind w:left="0" w:right="0" w:firstLine="420" w:firstLineChars="200"/>
              <w:rPr>
                <w:rFonts w:hint="default"/>
                <w:sz w:val="21"/>
              </w:rPr>
            </w:pPr>
            <w:r>
              <w:rPr>
                <w:rFonts w:hint="eastAsia"/>
                <w:sz w:val="21"/>
              </w:rPr>
              <w:t>四档 (</w:t>
            </w:r>
            <w:r>
              <w:rPr>
                <w:rFonts w:hint="eastAsia"/>
                <w:sz w:val="21"/>
                <w:lang w:val="en-US" w:eastAsia="zh-CN"/>
              </w:rPr>
              <w:t>18</w:t>
            </w:r>
            <w:r>
              <w:rPr>
                <w:rFonts w:hint="eastAsia"/>
                <w:sz w:val="21"/>
              </w:rPr>
              <w:t>分）：能结合本项目实际情况，保障措施表述较清晰、完整，有详细的跟踪服务计划，方案优秀，各项保证措施切实可行的。</w:t>
            </w:r>
          </w:p>
        </w:tc>
        <w:tc>
          <w:tcPr>
            <w:tcW w:w="1309" w:type="dxa"/>
            <w:noWrap w:val="0"/>
            <w:vAlign w:val="center"/>
          </w:tcPr>
          <w:p>
            <w:pPr>
              <w:pStyle w:val="7"/>
              <w:keepNext w:val="0"/>
              <w:keepLines w:val="0"/>
              <w:suppressLineNumbers w:val="0"/>
              <w:spacing w:before="0" w:beforeAutospacing="0" w:after="0" w:afterAutospacing="0"/>
              <w:ind w:left="0" w:right="0"/>
              <w:jc w:val="center"/>
              <w:rPr>
                <w:rFonts w:hint="default"/>
                <w:sz w:val="21"/>
              </w:rPr>
            </w:pPr>
            <w:r>
              <w:rPr>
                <w:rFonts w:hint="default"/>
                <w:sz w:val="21"/>
              </w:rPr>
              <w:t xml:space="preserve">满分 </w:t>
            </w:r>
            <w:r>
              <w:rPr>
                <w:rFonts w:hint="eastAsia"/>
                <w:sz w:val="21"/>
                <w:lang w:val="en-US" w:eastAsia="zh-CN"/>
              </w:rPr>
              <w:t>18</w:t>
            </w:r>
            <w:r>
              <w:rPr>
                <w:rFonts w:hint="default"/>
                <w:sz w:val="21"/>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998" w:type="dxa"/>
            <w:noWrap w:val="0"/>
            <w:vAlign w:val="top"/>
          </w:tcPr>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133" w:beforeAutospacing="0" w:after="0" w:afterAutospacing="0"/>
              <w:ind w:left="6" w:right="0"/>
              <w:jc w:val="center"/>
              <w:rPr>
                <w:rFonts w:hint="eastAsia" w:eastAsia="宋体"/>
                <w:sz w:val="21"/>
                <w:lang w:eastAsia="zh-CN"/>
              </w:rPr>
            </w:pPr>
            <w:r>
              <w:rPr>
                <w:rFonts w:hint="eastAsia"/>
                <w:w w:val="99"/>
                <w:sz w:val="21"/>
                <w:lang w:val="en-US" w:eastAsia="zh-CN"/>
              </w:rPr>
              <w:t>6</w:t>
            </w:r>
          </w:p>
        </w:tc>
        <w:tc>
          <w:tcPr>
            <w:tcW w:w="1311" w:type="dxa"/>
            <w:noWrap w:val="0"/>
            <w:vAlign w:val="top"/>
          </w:tcPr>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133" w:beforeAutospacing="0" w:after="0" w:afterAutospacing="0"/>
              <w:ind w:left="339" w:right="0"/>
              <w:rPr>
                <w:rFonts w:hint="default"/>
                <w:sz w:val="21"/>
              </w:rPr>
            </w:pPr>
            <w:r>
              <w:rPr>
                <w:rFonts w:hint="default"/>
                <w:sz w:val="21"/>
              </w:rPr>
              <w:t>业绩分</w:t>
            </w:r>
          </w:p>
        </w:tc>
        <w:tc>
          <w:tcPr>
            <w:tcW w:w="5730" w:type="dxa"/>
            <w:noWrap w:val="0"/>
            <w:vAlign w:val="top"/>
          </w:tcPr>
          <w:p>
            <w:pPr>
              <w:pStyle w:val="7"/>
              <w:keepNext w:val="0"/>
              <w:keepLines w:val="0"/>
              <w:suppressLineNumbers w:val="0"/>
              <w:spacing w:before="0" w:beforeAutospacing="0" w:after="0" w:afterAutospacing="0" w:line="360" w:lineRule="auto"/>
              <w:ind w:left="106" w:right="0"/>
              <w:rPr>
                <w:rFonts w:hint="default"/>
                <w:sz w:val="21"/>
              </w:rPr>
            </w:pPr>
            <w:r>
              <w:rPr>
                <w:rFonts w:hint="eastAsia"/>
                <w:sz w:val="21"/>
              </w:rPr>
              <w:t>供应商自201</w:t>
            </w:r>
            <w:r>
              <w:rPr>
                <w:rFonts w:hint="eastAsia"/>
                <w:sz w:val="21"/>
                <w:lang w:val="en-US"/>
              </w:rPr>
              <w:t>8</w:t>
            </w:r>
            <w:r>
              <w:rPr>
                <w:rFonts w:hint="eastAsia"/>
                <w:sz w:val="21"/>
              </w:rPr>
              <w:t>年</w:t>
            </w:r>
            <w:r>
              <w:rPr>
                <w:rFonts w:hint="eastAsia"/>
                <w:sz w:val="21"/>
                <w:lang w:val="en-US" w:eastAsia="zh-CN"/>
              </w:rPr>
              <w:t>1</w:t>
            </w:r>
            <w:r>
              <w:rPr>
                <w:rFonts w:hint="eastAsia"/>
                <w:sz w:val="21"/>
              </w:rPr>
              <w:t>月</w:t>
            </w:r>
            <w:r>
              <w:rPr>
                <w:rFonts w:hint="eastAsia"/>
                <w:sz w:val="21"/>
                <w:lang w:val="en-US" w:eastAsia="zh-CN"/>
              </w:rPr>
              <w:t>1</w:t>
            </w:r>
            <w:r>
              <w:rPr>
                <w:rFonts w:hint="eastAsia"/>
                <w:sz w:val="21"/>
              </w:rPr>
              <w:t>日</w:t>
            </w:r>
            <w:r>
              <w:rPr>
                <w:rFonts w:hint="eastAsia"/>
                <w:color w:val="auto"/>
                <w:sz w:val="21"/>
              </w:rPr>
              <w:t>至投标截止时间，承接过</w:t>
            </w:r>
            <w:r>
              <w:rPr>
                <w:rFonts w:hint="eastAsia"/>
                <w:color w:val="auto"/>
                <w:sz w:val="21"/>
                <w:lang w:val="en-US" w:eastAsia="zh-CN"/>
              </w:rPr>
              <w:t>教育培训</w:t>
            </w:r>
            <w:r>
              <w:rPr>
                <w:rFonts w:hint="eastAsia"/>
                <w:color w:val="auto"/>
                <w:sz w:val="21"/>
                <w:lang w:val="en-US"/>
              </w:rPr>
              <w:t>服务类</w:t>
            </w:r>
            <w:r>
              <w:rPr>
                <w:rFonts w:hint="eastAsia"/>
                <w:color w:val="auto"/>
                <w:sz w:val="21"/>
              </w:rPr>
              <w:t>项目的，每个得</w:t>
            </w:r>
            <w:r>
              <w:rPr>
                <w:rFonts w:hint="eastAsia"/>
                <w:color w:val="auto"/>
                <w:sz w:val="21"/>
                <w:lang w:val="en-US" w:eastAsia="zh-CN"/>
              </w:rPr>
              <w:t>1</w:t>
            </w:r>
            <w:r>
              <w:rPr>
                <w:rFonts w:hint="eastAsia"/>
                <w:color w:val="auto"/>
                <w:sz w:val="21"/>
              </w:rPr>
              <w:t>分，</w:t>
            </w:r>
            <w:r>
              <w:rPr>
                <w:rFonts w:hint="eastAsia"/>
                <w:sz w:val="21"/>
              </w:rPr>
              <w:t>满分</w:t>
            </w:r>
            <w:r>
              <w:rPr>
                <w:rFonts w:hint="eastAsia"/>
                <w:sz w:val="21"/>
                <w:lang w:val="en-US" w:eastAsia="zh-CN"/>
              </w:rPr>
              <w:t>4</w:t>
            </w:r>
            <w:r>
              <w:rPr>
                <w:rFonts w:hint="eastAsia"/>
                <w:sz w:val="21"/>
              </w:rPr>
              <w:t>分。(提供加盖公章的合同复印件或中标通知书复印件)</w:t>
            </w:r>
            <w:r>
              <w:rPr>
                <w:rFonts w:hint="default"/>
                <w:sz w:val="21"/>
              </w:rPr>
              <w:t>。</w:t>
            </w:r>
          </w:p>
        </w:tc>
        <w:tc>
          <w:tcPr>
            <w:tcW w:w="1309" w:type="dxa"/>
            <w:noWrap w:val="0"/>
            <w:vAlign w:val="top"/>
          </w:tcPr>
          <w:p>
            <w:pPr>
              <w:pStyle w:val="7"/>
              <w:keepNext w:val="0"/>
              <w:keepLines w:val="0"/>
              <w:suppressLineNumbers w:val="0"/>
              <w:spacing w:before="0" w:beforeAutospacing="0" w:after="0" w:afterAutospacing="0"/>
              <w:ind w:left="0" w:right="0"/>
              <w:rPr>
                <w:rFonts w:hint="default"/>
                <w:sz w:val="20"/>
              </w:rPr>
            </w:pPr>
          </w:p>
          <w:p>
            <w:pPr>
              <w:pStyle w:val="7"/>
              <w:keepNext w:val="0"/>
              <w:keepLines w:val="0"/>
              <w:suppressLineNumbers w:val="0"/>
              <w:spacing w:before="133" w:beforeAutospacing="0" w:after="0" w:afterAutospacing="0"/>
              <w:ind w:left="232" w:right="0"/>
              <w:rPr>
                <w:rFonts w:hint="default"/>
                <w:sz w:val="21"/>
              </w:rPr>
            </w:pPr>
            <w:r>
              <w:rPr>
                <w:rFonts w:hint="default"/>
                <w:sz w:val="21"/>
              </w:rPr>
              <w:t>满分</w:t>
            </w:r>
            <w:r>
              <w:rPr>
                <w:rFonts w:hint="eastAsia"/>
                <w:sz w:val="21"/>
                <w:lang w:val="en-US" w:eastAsia="zh-CN"/>
              </w:rPr>
              <w:t>4</w:t>
            </w:r>
            <w:r>
              <w:rPr>
                <w:rFonts w:hint="default"/>
                <w:sz w:val="21"/>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9348" w:type="dxa"/>
            <w:gridSpan w:val="4"/>
            <w:noWrap w:val="0"/>
            <w:vAlign w:val="top"/>
          </w:tcPr>
          <w:p>
            <w:pPr>
              <w:pStyle w:val="7"/>
              <w:keepNext w:val="0"/>
              <w:keepLines w:val="0"/>
              <w:suppressLineNumbers w:val="0"/>
              <w:spacing w:before="0" w:beforeAutospacing="0" w:after="0" w:afterAutospacing="0" w:line="264" w:lineRule="exact"/>
              <w:ind w:left="106" w:right="0"/>
              <w:rPr>
                <w:rFonts w:hint="default"/>
                <w:b/>
                <w:sz w:val="21"/>
              </w:rPr>
            </w:pPr>
            <w:r>
              <w:rPr>
                <w:rFonts w:hint="default"/>
                <w:b/>
                <w:sz w:val="21"/>
              </w:rPr>
              <w:t>总得分</w:t>
            </w:r>
            <w:r>
              <w:rPr>
                <w:rFonts w:hint="default" w:ascii="Times New Roman" w:eastAsia="Times New Roman"/>
                <w:b/>
                <w:sz w:val="21"/>
              </w:rPr>
              <w:t>=1+2+3+4+5+6</w:t>
            </w:r>
            <w:r>
              <w:rPr>
                <w:rFonts w:hint="default"/>
                <w:b/>
                <w:sz w:val="21"/>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E4C4B28E-FE0F-4A80-928B-DA3CF8BDAC7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86F5699-9A68-44D5-B446-90F5C61F75FF}"/>
  </w:font>
  <w:font w:name="金山简黑体">
    <w:altName w:val="宋体"/>
    <w:panose1 w:val="02010609000101010101"/>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FB1ABE69-50DF-4A66-80B7-2B1E26EF4218}"/>
  </w:font>
  <w:font w:name="方正公文小标宋">
    <w:panose1 w:val="02000500000000000000"/>
    <w:charset w:val="86"/>
    <w:family w:val="auto"/>
    <w:pitch w:val="default"/>
    <w:sig w:usb0="A00002BF" w:usb1="38CF7CFA" w:usb2="00000016" w:usb3="00000000" w:csb0="00040001" w:csb1="00000000"/>
    <w:embedRegular r:id="rId4" w:fontKey="{9076106C-75F6-48B0-B8B5-DADAE22EB00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0642356"/>
    <w:rsid w:val="10642356"/>
    <w:rsid w:val="37C56FE1"/>
    <w:rsid w:val="772B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金山简黑体" w:hAnsi="Courier New" w:eastAsia="金山简黑体"/>
      <w:b/>
      <w:spacing w:val="-8"/>
      <w:sz w:val="44"/>
      <w:szCs w:val="20"/>
    </w:rPr>
  </w:style>
  <w:style w:type="paragraph" w:styleId="4">
    <w:name w:val="Plain Text"/>
    <w:basedOn w:val="1"/>
    <w:next w:val="1"/>
    <w:qFormat/>
    <w:uiPriority w:val="0"/>
    <w:rPr>
      <w:rFonts w:ascii="宋体" w:hAnsi="Courier New"/>
      <w:szCs w:val="20"/>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2023-08-09T04:12:00Z</dcterms:created>
  <dc:creator>薇薇薇啊~</dc:creator>
  <cp:lastModifiedBy>薇薇薇啊~</cp:lastModifiedBy>
  <dcterms:modified xsi:type="dcterms:W3CDTF">2023-08-09T04:18:02Z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857164EBA4FA48038B3C564DDAF26138_11</vt:lpwstr>
  </property>
</Properties>
</file>